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556E4" w14:textId="2C2DB539" w:rsidR="00155F1E" w:rsidRPr="00282D8E" w:rsidRDefault="003606F5" w:rsidP="00C53253">
      <w:pPr>
        <w:spacing w:before="120" w:after="120"/>
        <w:rPr>
          <w:rFonts w:ascii="Calibri" w:hAnsi="Calibri" w:cs="Arial"/>
          <w:iCs/>
          <w:color w:val="003379"/>
          <w:kern w:val="32"/>
          <w:sz w:val="36"/>
          <w:szCs w:val="28"/>
          <w:lang w:eastAsia="en-AU"/>
        </w:rPr>
      </w:pPr>
      <w:r>
        <w:rPr>
          <w:rFonts w:ascii="Calibri" w:hAnsi="Calibri" w:cs="Arial"/>
          <w:iCs/>
          <w:color w:val="003379"/>
          <w:kern w:val="32"/>
          <w:sz w:val="36"/>
          <w:szCs w:val="28"/>
          <w:lang w:eastAsia="en-AU"/>
        </w:rPr>
        <w:t>E</w:t>
      </w:r>
      <w:r w:rsidR="00155F1E" w:rsidRPr="00282D8E">
        <w:rPr>
          <w:rFonts w:ascii="Calibri" w:hAnsi="Calibri" w:cs="Arial"/>
          <w:iCs/>
          <w:color w:val="003379"/>
          <w:kern w:val="32"/>
          <w:sz w:val="36"/>
          <w:szCs w:val="28"/>
          <w:lang w:eastAsia="en-AU"/>
        </w:rPr>
        <w:t>ffectiveness and capability review of the Australian Prudential Regulation Authority</w:t>
      </w:r>
    </w:p>
    <w:p w14:paraId="04535A93" w14:textId="77777777" w:rsidR="00155F1E" w:rsidRPr="009067F0" w:rsidRDefault="00155F1E" w:rsidP="00F00489">
      <w:pPr>
        <w:spacing w:before="240" w:after="120"/>
        <w:rPr>
          <w:rFonts w:ascii="Calibri" w:eastAsia="Yu Gothic Light" w:hAnsi="Calibri" w:cs="Arial"/>
          <w:color w:val="005994"/>
          <w:kern w:val="32"/>
          <w:sz w:val="32"/>
          <w:szCs w:val="32"/>
          <w:lang w:eastAsia="en-AU"/>
        </w:rPr>
      </w:pPr>
      <w:r w:rsidRPr="009067F0">
        <w:rPr>
          <w:rFonts w:ascii="Calibri" w:eastAsia="Yu Gothic Light" w:hAnsi="Calibri" w:cs="Arial"/>
          <w:color w:val="005994"/>
          <w:kern w:val="32"/>
          <w:sz w:val="32"/>
          <w:szCs w:val="32"/>
          <w:lang w:eastAsia="en-AU"/>
        </w:rPr>
        <w:t xml:space="preserve">Purpose of the review </w:t>
      </w:r>
    </w:p>
    <w:p w14:paraId="0CC6628B" w14:textId="5EA4E377" w:rsidR="00155F1E" w:rsidRPr="00AB6736" w:rsidRDefault="00155F1E" w:rsidP="00155F1E">
      <w:pPr>
        <w:spacing w:before="120" w:after="120"/>
        <w:rPr>
          <w:szCs w:val="24"/>
        </w:rPr>
      </w:pPr>
      <w:r w:rsidRPr="00AB6736">
        <w:rPr>
          <w:szCs w:val="24"/>
        </w:rPr>
        <w:t>The Financial Regulator Assessment Authority (FRAA) was established in response to recommendations of the Royal Commission into the Misconduct in the Banking, Superannuation and Financial Services Industry.</w:t>
      </w:r>
      <w:r>
        <w:rPr>
          <w:szCs w:val="24"/>
        </w:rPr>
        <w:t xml:space="preserve"> </w:t>
      </w:r>
      <w:r w:rsidRPr="00AB6736">
        <w:rPr>
          <w:szCs w:val="24"/>
        </w:rPr>
        <w:t xml:space="preserve">The FRAA’s statutory mandate under the </w:t>
      </w:r>
      <w:r w:rsidRPr="00AB6736">
        <w:rPr>
          <w:i/>
          <w:iCs/>
          <w:szCs w:val="24"/>
        </w:rPr>
        <w:t>Financial Regulator Assessment Authority Act 2021</w:t>
      </w:r>
      <w:r w:rsidRPr="00AB6736">
        <w:rPr>
          <w:szCs w:val="24"/>
        </w:rPr>
        <w:t xml:space="preserve"> (FRAA Act) requires it to assess and report on the effectiveness and capability of </w:t>
      </w:r>
      <w:r>
        <w:rPr>
          <w:szCs w:val="24"/>
        </w:rPr>
        <w:t>the Australian Prudential Regulation Assessment Authority (</w:t>
      </w:r>
      <w:r w:rsidRPr="00AB6736">
        <w:rPr>
          <w:szCs w:val="24"/>
        </w:rPr>
        <w:t>APRA</w:t>
      </w:r>
      <w:r>
        <w:rPr>
          <w:szCs w:val="24"/>
        </w:rPr>
        <w:t>),</w:t>
      </w:r>
      <w:r w:rsidRPr="00AB6736">
        <w:rPr>
          <w:szCs w:val="24"/>
        </w:rPr>
        <w:t xml:space="preserve"> and </w:t>
      </w:r>
      <w:r>
        <w:rPr>
          <w:szCs w:val="24"/>
        </w:rPr>
        <w:t>the Australian Securities and Investments Commission</w:t>
      </w:r>
      <w:r w:rsidRPr="00AB6736">
        <w:rPr>
          <w:szCs w:val="24"/>
        </w:rPr>
        <w:t xml:space="preserve"> on a biennial basis, with reports to be delivered to the Minister and subsequently tabled in Parliament. </w:t>
      </w:r>
    </w:p>
    <w:p w14:paraId="31BF1742" w14:textId="77777777" w:rsidR="00155F1E" w:rsidRPr="00AB6736" w:rsidRDefault="00155F1E" w:rsidP="00155F1E">
      <w:pPr>
        <w:spacing w:before="120" w:after="120"/>
        <w:rPr>
          <w:szCs w:val="24"/>
        </w:rPr>
      </w:pPr>
      <w:r w:rsidRPr="7D8871B7">
        <w:rPr>
          <w:szCs w:val="24"/>
        </w:rPr>
        <w:t>Each FRAA review will assess a specific set of functions and operations of a regulator, with the breadth of the regulators’ activity to be assessed across a number of consecutive reviews. This approach will enable the FRAA to undertake meaningful assessments of each regulatory function and provide sufficient opportunities for the regulators to take action to address findings from the FRAA reviews.</w:t>
      </w:r>
    </w:p>
    <w:p w14:paraId="0AEC11A0" w14:textId="77777777" w:rsidR="00155F1E" w:rsidRPr="009067F0" w:rsidRDefault="00155F1E" w:rsidP="00155F1E">
      <w:pPr>
        <w:spacing w:before="240" w:after="120"/>
        <w:rPr>
          <w:rFonts w:ascii="Calibri" w:eastAsia="Yu Gothic Light" w:hAnsi="Calibri" w:cs="Arial"/>
          <w:color w:val="005994"/>
          <w:kern w:val="32"/>
          <w:sz w:val="32"/>
          <w:szCs w:val="32"/>
          <w:lang w:eastAsia="en-AU"/>
        </w:rPr>
      </w:pPr>
      <w:r w:rsidRPr="009067F0">
        <w:rPr>
          <w:rFonts w:ascii="Calibri" w:eastAsia="Yu Gothic Light" w:hAnsi="Calibri" w:cs="Arial"/>
          <w:color w:val="005994"/>
          <w:kern w:val="32"/>
          <w:sz w:val="32"/>
          <w:szCs w:val="32"/>
          <w:lang w:eastAsia="en-AU"/>
        </w:rPr>
        <w:t>Focus and scope of the review</w:t>
      </w:r>
    </w:p>
    <w:p w14:paraId="1D6CE804" w14:textId="77777777" w:rsidR="00155F1E" w:rsidRDefault="00155F1E" w:rsidP="00155F1E">
      <w:pPr>
        <w:pStyle w:val="paragraph"/>
        <w:spacing w:before="120" w:beforeAutospacing="0" w:after="120" w:afterAutospacing="0"/>
        <w:textAlignment w:val="baseline"/>
        <w:rPr>
          <w:rStyle w:val="normaltextrun"/>
          <w:rFonts w:ascii="Calibri" w:hAnsi="Calibri" w:cs="Calibri"/>
        </w:rPr>
      </w:pPr>
      <w:r w:rsidRPr="49999C67">
        <w:rPr>
          <w:rStyle w:val="normaltextrun"/>
          <w:rFonts w:ascii="Calibri" w:hAnsi="Calibri" w:cs="Calibri"/>
        </w:rPr>
        <w:t xml:space="preserve">The first review of APRA will be a targeted assessment of the effectiveness and capability of APRA’s supervision and resolution functions, focusing on superannuation. </w:t>
      </w:r>
    </w:p>
    <w:p w14:paraId="760DA077" w14:textId="673D0A91" w:rsidR="00155F1E" w:rsidRDefault="00155F1E" w:rsidP="00155F1E">
      <w:pPr>
        <w:pStyle w:val="paragraph"/>
        <w:spacing w:before="120" w:beforeAutospacing="0" w:after="120" w:afterAutospacing="0"/>
        <w:textAlignment w:val="baseline"/>
        <w:rPr>
          <w:rFonts w:ascii="Segoe UI" w:hAnsi="Segoe UI" w:cs="Segoe UI"/>
          <w:sz w:val="18"/>
          <w:szCs w:val="18"/>
        </w:rPr>
      </w:pPr>
      <w:r w:rsidRPr="49999C67">
        <w:rPr>
          <w:rStyle w:val="normaltextrun"/>
          <w:rFonts w:ascii="Calibri" w:hAnsi="Calibri" w:cs="Calibri"/>
        </w:rPr>
        <w:t xml:space="preserve">The scope of the review excludes </w:t>
      </w:r>
      <w:r w:rsidR="0020049A">
        <w:rPr>
          <w:rStyle w:val="normaltextrun"/>
          <w:rFonts w:ascii="Calibri" w:hAnsi="Calibri" w:cs="Calibri"/>
        </w:rPr>
        <w:t>matters</w:t>
      </w:r>
      <w:r w:rsidRPr="49999C67">
        <w:rPr>
          <w:rStyle w:val="normaltextrun"/>
          <w:rFonts w:ascii="Calibri" w:hAnsi="Calibri" w:cs="Calibri"/>
        </w:rPr>
        <w:t xml:space="preserve"> that are under consideration in other reviews or consultations, such as the review of the Your Future, Your Super laws. </w:t>
      </w:r>
      <w:r w:rsidRPr="49999C67">
        <w:rPr>
          <w:rFonts w:ascii="Segoe UI" w:hAnsi="Segoe UI" w:cs="Segoe UI"/>
          <w:sz w:val="18"/>
          <w:szCs w:val="18"/>
        </w:rPr>
        <w:t xml:space="preserve"> </w:t>
      </w:r>
    </w:p>
    <w:p w14:paraId="03D1EC38" w14:textId="5478C82D" w:rsidR="00155F1E" w:rsidRDefault="00155F1E" w:rsidP="00155F1E">
      <w:pPr>
        <w:pStyle w:val="paragraph"/>
        <w:spacing w:before="120" w:beforeAutospacing="0" w:after="120" w:afterAutospacing="0"/>
        <w:textAlignment w:val="baseline"/>
        <w:rPr>
          <w:rFonts w:ascii="Segoe UI" w:hAnsi="Segoe UI" w:cs="Segoe UI"/>
          <w:sz w:val="18"/>
          <w:szCs w:val="18"/>
        </w:rPr>
      </w:pPr>
      <w:r w:rsidRPr="49999C67">
        <w:rPr>
          <w:rStyle w:val="normaltextrun"/>
          <w:rFonts w:ascii="Calibri" w:hAnsi="Calibri" w:cs="Calibri"/>
        </w:rPr>
        <w:t xml:space="preserve">Consistent with the </w:t>
      </w:r>
      <w:r w:rsidR="0024732D">
        <w:rPr>
          <w:rStyle w:val="normaltextrun"/>
          <w:rFonts w:ascii="Calibri" w:hAnsi="Calibri" w:cs="Calibri"/>
          <w:i/>
          <w:iCs/>
        </w:rPr>
        <w:t>FRAA Act</w:t>
      </w:r>
      <w:r w:rsidRPr="49999C67">
        <w:rPr>
          <w:rStyle w:val="normaltextrun"/>
          <w:rFonts w:ascii="Calibri" w:hAnsi="Calibri" w:cs="Calibri"/>
        </w:rPr>
        <w:t>, the FRAA will not assess or report on single cases. The FRAA will take as given the legislation that APRA administers.</w:t>
      </w:r>
      <w:r w:rsidRPr="49999C67">
        <w:rPr>
          <w:rStyle w:val="eop"/>
          <w:rFonts w:ascii="Calibri" w:hAnsi="Calibri" w:cs="Calibri"/>
        </w:rPr>
        <w:t> </w:t>
      </w:r>
      <w:r w:rsidRPr="49999C67">
        <w:rPr>
          <w:rStyle w:val="normaltextrun"/>
          <w:rFonts w:ascii="Calibri" w:hAnsi="Calibri" w:cs="Calibri"/>
        </w:rPr>
        <w:t>It will not review APRA’s prudential policy</w:t>
      </w:r>
      <w:r w:rsidR="00D5019A">
        <w:rPr>
          <w:rStyle w:val="normaltextrun"/>
          <w:rFonts w:ascii="Calibri" w:hAnsi="Calibri" w:cs="Calibri"/>
        </w:rPr>
        <w:t>,</w:t>
      </w:r>
      <w:r w:rsidR="00125C72">
        <w:rPr>
          <w:rStyle w:val="normaltextrun"/>
          <w:rFonts w:ascii="Calibri" w:hAnsi="Calibri" w:cs="Calibri"/>
        </w:rPr>
        <w:t xml:space="preserve"> </w:t>
      </w:r>
      <w:r w:rsidRPr="49999C67">
        <w:rPr>
          <w:rStyle w:val="normaltextrun"/>
          <w:rFonts w:ascii="Calibri" w:hAnsi="Calibri" w:cs="Calibri"/>
        </w:rPr>
        <w:t>guidance,</w:t>
      </w:r>
      <w:r w:rsidRPr="49999C67" w:rsidDel="007E2E9A">
        <w:rPr>
          <w:rStyle w:val="normaltextrun"/>
          <w:rFonts w:ascii="Calibri" w:hAnsi="Calibri" w:cs="Calibri"/>
        </w:rPr>
        <w:t xml:space="preserve"> </w:t>
      </w:r>
      <w:r w:rsidR="00D5019A">
        <w:rPr>
          <w:rStyle w:val="normaltextrun"/>
          <w:rFonts w:ascii="Calibri" w:hAnsi="Calibri" w:cs="Calibri"/>
        </w:rPr>
        <w:t>or</w:t>
      </w:r>
      <w:r w:rsidRPr="49999C67">
        <w:rPr>
          <w:rStyle w:val="normaltextrun"/>
          <w:rFonts w:ascii="Calibri" w:hAnsi="Calibri" w:cs="Calibri"/>
        </w:rPr>
        <w:t xml:space="preserve"> enforcement activity in the superannuation industry.</w:t>
      </w:r>
      <w:r w:rsidRPr="49999C67">
        <w:rPr>
          <w:rStyle w:val="eop"/>
          <w:rFonts w:ascii="Calibri" w:hAnsi="Calibri" w:cs="Calibri"/>
        </w:rPr>
        <w:t> </w:t>
      </w:r>
    </w:p>
    <w:p w14:paraId="275FE4E8" w14:textId="77777777" w:rsidR="00155F1E" w:rsidRPr="009067F0" w:rsidRDefault="00155F1E" w:rsidP="00155F1E">
      <w:pPr>
        <w:spacing w:before="240" w:after="120"/>
        <w:rPr>
          <w:rFonts w:ascii="Calibri" w:eastAsia="Times New Roman" w:hAnsi="Calibri" w:cs="Arial"/>
          <w:color w:val="127F6A"/>
          <w:kern w:val="32"/>
          <w:sz w:val="28"/>
          <w:szCs w:val="28"/>
          <w:lang w:eastAsia="en-AU"/>
        </w:rPr>
      </w:pPr>
      <w:r w:rsidRPr="009067F0">
        <w:rPr>
          <w:rFonts w:ascii="Calibri" w:eastAsia="Times New Roman" w:hAnsi="Calibri" w:cs="Arial"/>
          <w:color w:val="127F6A"/>
          <w:kern w:val="32"/>
          <w:sz w:val="28"/>
          <w:szCs w:val="28"/>
          <w:lang w:eastAsia="en-AU"/>
        </w:rPr>
        <w:t xml:space="preserve">Supervision </w:t>
      </w:r>
    </w:p>
    <w:p w14:paraId="24DD537A" w14:textId="77777777" w:rsidR="00155F1E" w:rsidRDefault="00155F1E" w:rsidP="00155F1E">
      <w:pPr>
        <w:pStyle w:val="paragraph"/>
        <w:spacing w:before="120" w:beforeAutospacing="0" w:after="120" w:afterAutospacing="0"/>
        <w:textAlignment w:val="baseline"/>
        <w:rPr>
          <w:rFonts w:ascii="Segoe UI" w:hAnsi="Segoe UI" w:cs="Segoe UI"/>
          <w:sz w:val="18"/>
          <w:szCs w:val="18"/>
        </w:rPr>
      </w:pPr>
      <w:r w:rsidRPr="49999C67">
        <w:rPr>
          <w:rStyle w:val="normaltextrun"/>
          <w:rFonts w:ascii="Calibri" w:hAnsi="Calibri" w:cs="Calibri"/>
        </w:rPr>
        <w:t xml:space="preserve">APRA’s supervision involves a range of activities to identify and respond to significant prudential risks to regulated entities, </w:t>
      </w:r>
      <w:proofErr w:type="gramStart"/>
      <w:r w:rsidRPr="49999C67">
        <w:rPr>
          <w:rStyle w:val="normaltextrun"/>
          <w:rFonts w:ascii="Calibri" w:hAnsi="Calibri" w:cs="Calibri"/>
        </w:rPr>
        <w:t>industries</w:t>
      </w:r>
      <w:proofErr w:type="gramEnd"/>
      <w:r w:rsidRPr="49999C67">
        <w:rPr>
          <w:rStyle w:val="normaltextrun"/>
          <w:rFonts w:ascii="Calibri" w:hAnsi="Calibri" w:cs="Calibri"/>
        </w:rPr>
        <w:t xml:space="preserve"> and the financial system. Prudential risks include financial, </w:t>
      </w:r>
      <w:proofErr w:type="gramStart"/>
      <w:r w:rsidRPr="49999C67">
        <w:rPr>
          <w:rStyle w:val="normaltextrun"/>
          <w:rFonts w:ascii="Calibri" w:hAnsi="Calibri" w:cs="Calibri"/>
        </w:rPr>
        <w:t>operational</w:t>
      </w:r>
      <w:proofErr w:type="gramEnd"/>
      <w:r w:rsidRPr="49999C67">
        <w:rPr>
          <w:rStyle w:val="normaltextrun"/>
          <w:rFonts w:ascii="Calibri" w:hAnsi="Calibri" w:cs="Calibri"/>
        </w:rPr>
        <w:t xml:space="preserve"> and behavioural risks that could have an adverse impact on the outcomes for superannuation fund members, or for the financial system more broadly.</w:t>
      </w:r>
      <w:r w:rsidRPr="49999C67">
        <w:rPr>
          <w:rStyle w:val="eop"/>
          <w:rFonts w:ascii="Calibri" w:hAnsi="Calibri" w:cs="Calibri"/>
        </w:rPr>
        <w:t> </w:t>
      </w:r>
    </w:p>
    <w:p w14:paraId="59D835D4" w14:textId="77777777" w:rsidR="00155F1E" w:rsidRDefault="00155F1E" w:rsidP="00155F1E">
      <w:pPr>
        <w:pStyle w:val="paragraph"/>
        <w:spacing w:before="120" w:beforeAutospacing="0" w:after="120" w:afterAutospacing="0"/>
        <w:textAlignment w:val="baseline"/>
        <w:rPr>
          <w:rFonts w:ascii="Segoe UI" w:hAnsi="Segoe UI" w:cs="Segoe UI"/>
          <w:sz w:val="18"/>
          <w:szCs w:val="18"/>
        </w:rPr>
      </w:pPr>
      <w:r w:rsidRPr="49999C67">
        <w:rPr>
          <w:rStyle w:val="normaltextrun"/>
          <w:rFonts w:ascii="Calibri" w:hAnsi="Calibri" w:cs="Calibri"/>
        </w:rPr>
        <w:t xml:space="preserve">The review will consider the effectiveness and capability of APRA’s frontline supervision, and the specialist and risk functions relevant to superannuation. </w:t>
      </w:r>
    </w:p>
    <w:p w14:paraId="67F9DC8D" w14:textId="6A133B9E" w:rsidR="008A0799" w:rsidRDefault="00155F1E" w:rsidP="00155F1E">
      <w:pPr>
        <w:spacing w:before="120" w:after="120"/>
        <w:rPr>
          <w:lang w:eastAsia="en-AU"/>
        </w:rPr>
      </w:pPr>
      <w:r w:rsidRPr="49999C67">
        <w:rPr>
          <w:lang w:eastAsia="en-AU"/>
        </w:rPr>
        <w:t xml:space="preserve">Where possible responses to the key questions below should be supported with data, examples and/or case studies from APRA’s supervision activities in superannuation. </w:t>
      </w:r>
    </w:p>
    <w:p w14:paraId="7EE3187A" w14:textId="77777777" w:rsidR="00D75725" w:rsidRDefault="00D75725" w:rsidP="00155F1E">
      <w:pPr>
        <w:spacing w:before="120" w:after="120"/>
        <w:rPr>
          <w:lang w:eastAsia="en-AU"/>
        </w:rPr>
      </w:pPr>
    </w:p>
    <w:tbl>
      <w:tblPr>
        <w:tblStyle w:val="TableGrid"/>
        <w:tblW w:w="0" w:type="auto"/>
        <w:tblLook w:val="04A0" w:firstRow="1" w:lastRow="0" w:firstColumn="1" w:lastColumn="0" w:noHBand="0" w:noVBand="1"/>
      </w:tblPr>
      <w:tblGrid>
        <w:gridCol w:w="9016"/>
      </w:tblGrid>
      <w:tr w:rsidR="00E32278" w:rsidRPr="008F7C93" w14:paraId="722B12D2" w14:textId="77777777" w:rsidTr="000F259B">
        <w:tc>
          <w:tcPr>
            <w:tcW w:w="9016" w:type="dxa"/>
            <w:shd w:val="clear" w:color="auto" w:fill="F2F2F2" w:themeFill="background1" w:themeFillShade="F2"/>
          </w:tcPr>
          <w:p w14:paraId="0B73BD1F" w14:textId="77777777" w:rsidR="00E32278" w:rsidRPr="008F7C93" w:rsidRDefault="00E32278" w:rsidP="000F259B">
            <w:pPr>
              <w:spacing w:before="120" w:after="120"/>
              <w:rPr>
                <w:b/>
                <w:bCs/>
                <w:szCs w:val="24"/>
              </w:rPr>
            </w:pPr>
            <w:bookmarkStart w:id="0" w:name="_Hlk112940701"/>
            <w:r w:rsidRPr="008F7C93">
              <w:rPr>
                <w:b/>
                <w:bCs/>
                <w:szCs w:val="24"/>
              </w:rPr>
              <w:lastRenderedPageBreak/>
              <w:t xml:space="preserve">Assessment of the effectiveness and capability of APRA’s supervision function in superannuation </w:t>
            </w:r>
          </w:p>
        </w:tc>
      </w:tr>
      <w:tr w:rsidR="00E32278" w:rsidRPr="008F7C93" w14:paraId="7A3098C6" w14:textId="77777777" w:rsidTr="000F259B">
        <w:tc>
          <w:tcPr>
            <w:tcW w:w="9016" w:type="dxa"/>
          </w:tcPr>
          <w:p w14:paraId="797DE3D8" w14:textId="77777777" w:rsidR="00E32278" w:rsidRPr="008F7C93" w:rsidRDefault="00E32278" w:rsidP="000F259B">
            <w:pPr>
              <w:spacing w:before="120" w:after="120"/>
              <w:rPr>
                <w:i/>
                <w:iCs/>
                <w:szCs w:val="24"/>
              </w:rPr>
            </w:pPr>
            <w:r w:rsidRPr="008F7C93">
              <w:rPr>
                <w:i/>
                <w:iCs/>
                <w:szCs w:val="24"/>
              </w:rPr>
              <w:t>Key questions</w:t>
            </w:r>
          </w:p>
          <w:p w14:paraId="6D9AC27D" w14:textId="77777777" w:rsidR="00E32278" w:rsidRPr="008F7C93" w:rsidRDefault="00E32278" w:rsidP="007D47EB">
            <w:pPr>
              <w:pStyle w:val="ListParagraph"/>
              <w:numPr>
                <w:ilvl w:val="0"/>
                <w:numId w:val="1"/>
              </w:numPr>
              <w:spacing w:before="120" w:after="120"/>
              <w:ind w:left="357" w:hanging="357"/>
              <w:contextualSpacing w:val="0"/>
              <w:rPr>
                <w:szCs w:val="24"/>
              </w:rPr>
            </w:pPr>
            <w:r w:rsidRPr="008F7C93">
              <w:rPr>
                <w:szCs w:val="24"/>
              </w:rPr>
              <w:t>Are APRA’s supervisory priorities clearly communicated by APRA staff to the regulated population and external stakeholders?</w:t>
            </w:r>
          </w:p>
          <w:p w14:paraId="65241A56" w14:textId="77777777" w:rsidR="00E32278" w:rsidRPr="008F7C93" w:rsidRDefault="00E32278" w:rsidP="007D47EB">
            <w:pPr>
              <w:pStyle w:val="ListParagraph"/>
              <w:numPr>
                <w:ilvl w:val="0"/>
                <w:numId w:val="1"/>
              </w:numPr>
              <w:spacing w:before="120" w:after="120"/>
              <w:ind w:left="357" w:hanging="357"/>
              <w:contextualSpacing w:val="0"/>
              <w:rPr>
                <w:szCs w:val="24"/>
              </w:rPr>
            </w:pPr>
            <w:r w:rsidRPr="008F7C93">
              <w:rPr>
                <w:szCs w:val="24"/>
              </w:rPr>
              <w:t>Does APRA clearly communicate and implement its supervision activities, and are supervision activities appropriately targeted?</w:t>
            </w:r>
          </w:p>
          <w:p w14:paraId="351348DC" w14:textId="77777777" w:rsidR="00E32278" w:rsidRPr="008F7C93" w:rsidRDefault="00E32278" w:rsidP="007D47EB">
            <w:pPr>
              <w:pStyle w:val="ListParagraph"/>
              <w:numPr>
                <w:ilvl w:val="0"/>
                <w:numId w:val="1"/>
              </w:numPr>
              <w:spacing w:before="120" w:after="120"/>
              <w:ind w:left="357" w:hanging="357"/>
              <w:contextualSpacing w:val="0"/>
              <w:rPr>
                <w:szCs w:val="24"/>
              </w:rPr>
            </w:pPr>
            <w:r w:rsidRPr="008F7C93">
              <w:rPr>
                <w:szCs w:val="24"/>
              </w:rPr>
              <w:t>How effective is APRA’s supervision in achieving APRA’s objectives? Are there any gaps in APRA’s supervisory activities in superannuation?</w:t>
            </w:r>
          </w:p>
          <w:p w14:paraId="6A2DB83A" w14:textId="77777777" w:rsidR="007D47EB" w:rsidRDefault="00E32278" w:rsidP="007D47EB">
            <w:pPr>
              <w:pStyle w:val="ListParagraph"/>
              <w:numPr>
                <w:ilvl w:val="0"/>
                <w:numId w:val="1"/>
              </w:numPr>
              <w:spacing w:before="120" w:after="120"/>
              <w:ind w:left="357" w:hanging="357"/>
              <w:contextualSpacing w:val="0"/>
            </w:pPr>
            <w:r>
              <w:t>To what extent does APRA have the appropriate organisational capabilities (including, people, data, technology, and systems) for detecting prudential risks, prioritising issues, and conducting its supervisory activities to achieve the right outcomes?</w:t>
            </w:r>
          </w:p>
          <w:p w14:paraId="63F04FC0" w14:textId="2C26DE5F" w:rsidR="00E32278" w:rsidRPr="007D47EB" w:rsidRDefault="00E32278" w:rsidP="007D47EB">
            <w:pPr>
              <w:pStyle w:val="ListParagraph"/>
              <w:numPr>
                <w:ilvl w:val="0"/>
                <w:numId w:val="1"/>
              </w:numPr>
              <w:spacing w:before="120" w:after="120"/>
              <w:ind w:left="357" w:hanging="357"/>
              <w:contextualSpacing w:val="0"/>
            </w:pPr>
            <w:r w:rsidRPr="007D47EB">
              <w:rPr>
                <w:szCs w:val="24"/>
              </w:rPr>
              <w:t>What steps has APRA taken to effectively reduce the regulatory impost of its supervisory activities? How could APRA improve?</w:t>
            </w:r>
          </w:p>
          <w:p w14:paraId="153054C4" w14:textId="77777777" w:rsidR="00E32278" w:rsidRPr="008F7C93" w:rsidRDefault="00E32278" w:rsidP="007D47EB">
            <w:pPr>
              <w:pStyle w:val="ListParagraph"/>
              <w:numPr>
                <w:ilvl w:val="0"/>
                <w:numId w:val="1"/>
              </w:numPr>
              <w:spacing w:before="120" w:after="120"/>
              <w:ind w:left="357" w:hanging="357"/>
              <w:contextualSpacing w:val="0"/>
              <w:rPr>
                <w:szCs w:val="24"/>
              </w:rPr>
            </w:pPr>
            <w:r>
              <w:rPr>
                <w:szCs w:val="24"/>
              </w:rPr>
              <w:t xml:space="preserve">How has </w:t>
            </w:r>
            <w:r w:rsidRPr="2EB04218">
              <w:rPr>
                <w:szCs w:val="24"/>
              </w:rPr>
              <w:t xml:space="preserve">APRA’s supervisory activities and the </w:t>
            </w:r>
            <w:r>
              <w:rPr>
                <w:szCs w:val="24"/>
              </w:rPr>
              <w:t xml:space="preserve">nature </w:t>
            </w:r>
            <w:r w:rsidRPr="2EB04218">
              <w:rPr>
                <w:szCs w:val="24"/>
              </w:rPr>
              <w:t>of its</w:t>
            </w:r>
            <w:r>
              <w:rPr>
                <w:szCs w:val="24"/>
              </w:rPr>
              <w:t xml:space="preserve"> relationship with stakeholders changed following </w:t>
            </w:r>
            <w:r w:rsidRPr="2EB04218">
              <w:rPr>
                <w:szCs w:val="24"/>
              </w:rPr>
              <w:t xml:space="preserve">recent </w:t>
            </w:r>
            <w:r>
              <w:rPr>
                <w:szCs w:val="24"/>
              </w:rPr>
              <w:t xml:space="preserve">independent inquiries and reviews? </w:t>
            </w:r>
          </w:p>
        </w:tc>
      </w:tr>
    </w:tbl>
    <w:bookmarkEnd w:id="0"/>
    <w:p w14:paraId="1CE32D94" w14:textId="77777777" w:rsidR="00155F1E" w:rsidRPr="009067F0" w:rsidRDefault="00155F1E" w:rsidP="00155F1E">
      <w:pPr>
        <w:spacing w:before="240" w:after="120"/>
        <w:rPr>
          <w:rFonts w:ascii="Calibri" w:eastAsia="Times New Roman" w:hAnsi="Calibri" w:cs="Arial"/>
          <w:color w:val="127F6A"/>
          <w:kern w:val="32"/>
          <w:sz w:val="28"/>
          <w:szCs w:val="28"/>
          <w:lang w:eastAsia="en-AU"/>
        </w:rPr>
      </w:pPr>
      <w:r w:rsidRPr="009067F0">
        <w:rPr>
          <w:rFonts w:ascii="Calibri" w:eastAsia="Times New Roman" w:hAnsi="Calibri" w:cs="Arial"/>
          <w:color w:val="127F6A"/>
          <w:kern w:val="32"/>
          <w:sz w:val="28"/>
          <w:szCs w:val="28"/>
          <w:lang w:eastAsia="en-AU"/>
        </w:rPr>
        <w:t>Resolution</w:t>
      </w:r>
    </w:p>
    <w:p w14:paraId="5258488D" w14:textId="77777777" w:rsidR="00155F1E" w:rsidRDefault="00155F1E" w:rsidP="00155F1E">
      <w:pPr>
        <w:pStyle w:val="paragraph"/>
        <w:spacing w:before="120" w:beforeAutospacing="0" w:after="120" w:afterAutospacing="0"/>
        <w:textAlignment w:val="baseline"/>
        <w:rPr>
          <w:rFonts w:ascii="Segoe UI" w:hAnsi="Segoe UI" w:cs="Segoe UI"/>
          <w:sz w:val="18"/>
          <w:szCs w:val="18"/>
        </w:rPr>
      </w:pPr>
      <w:r w:rsidRPr="49999C67">
        <w:rPr>
          <w:rStyle w:val="normaltextrun"/>
          <w:rFonts w:ascii="Calibri" w:hAnsi="Calibri" w:cs="Calibri"/>
        </w:rPr>
        <w:t>APRA’s resolution function plans and implements responses to the failure of a regulated institution, or a crisis in the financial system. </w:t>
      </w:r>
      <w:r w:rsidRPr="49999C67">
        <w:rPr>
          <w:rStyle w:val="eop"/>
          <w:rFonts w:ascii="Calibri" w:hAnsi="Calibri" w:cs="Calibri"/>
        </w:rPr>
        <w:t> </w:t>
      </w:r>
    </w:p>
    <w:p w14:paraId="1FE4357F" w14:textId="77777777" w:rsidR="00155F1E" w:rsidRPr="00E2533B" w:rsidRDefault="00155F1E" w:rsidP="00155F1E">
      <w:pPr>
        <w:pStyle w:val="paragraph"/>
        <w:spacing w:before="120" w:beforeAutospacing="0" w:after="120" w:afterAutospacing="0"/>
        <w:textAlignment w:val="baseline"/>
        <w:rPr>
          <w:rFonts w:ascii="Segoe UI" w:hAnsi="Segoe UI" w:cs="Segoe UI"/>
          <w:sz w:val="18"/>
          <w:szCs w:val="18"/>
        </w:rPr>
      </w:pPr>
      <w:r w:rsidRPr="49999C67">
        <w:rPr>
          <w:rStyle w:val="normaltextrun"/>
          <w:rFonts w:ascii="Calibri" w:hAnsi="Calibri" w:cs="Calibri"/>
        </w:rPr>
        <w:t>The review will consider the effectiveness and capability of APRA’s resolution function focusing on superannuation.</w:t>
      </w:r>
      <w:r w:rsidRPr="49999C67">
        <w:rPr>
          <w:rStyle w:val="eop"/>
          <w:rFonts w:ascii="Calibri" w:hAnsi="Calibri" w:cs="Calibri"/>
        </w:rPr>
        <w:t> </w:t>
      </w:r>
    </w:p>
    <w:p w14:paraId="10E50EAC" w14:textId="77777777" w:rsidR="00155F1E" w:rsidRDefault="00155F1E" w:rsidP="00155F1E">
      <w:pPr>
        <w:rPr>
          <w:rStyle w:val="normaltextrun"/>
          <w:rFonts w:ascii="Calibri" w:hAnsi="Calibri" w:cs="Calibri"/>
        </w:rPr>
      </w:pPr>
      <w:r>
        <w:t>T</w:t>
      </w:r>
      <w:r w:rsidRPr="49999C67">
        <w:rPr>
          <w:rStyle w:val="normaltextrun"/>
          <w:rFonts w:ascii="Calibri" w:hAnsi="Calibri" w:cs="Calibri"/>
        </w:rPr>
        <w:t xml:space="preserve">he review will also include APRA’s use of data, data analytics, and the supporting technology used in its supervisory and resolution activities. </w:t>
      </w:r>
    </w:p>
    <w:p w14:paraId="3E70A58A" w14:textId="77777777" w:rsidR="00155F1E" w:rsidRDefault="00155F1E" w:rsidP="00155F1E">
      <w:pPr>
        <w:spacing w:before="120" w:after="120"/>
        <w:rPr>
          <w:szCs w:val="24"/>
          <w:lang w:eastAsia="en-AU"/>
        </w:rPr>
      </w:pPr>
      <w:r>
        <w:rPr>
          <w:szCs w:val="24"/>
          <w:lang w:eastAsia="en-AU"/>
        </w:rPr>
        <w:t xml:space="preserve">Where possible responses to the key questions below should be supported with data, examples and/or case studies from APRA’s resolution activities in superannuation. </w:t>
      </w:r>
    </w:p>
    <w:tbl>
      <w:tblPr>
        <w:tblStyle w:val="TableGrid"/>
        <w:tblW w:w="0" w:type="auto"/>
        <w:tblLook w:val="04A0" w:firstRow="1" w:lastRow="0" w:firstColumn="1" w:lastColumn="0" w:noHBand="0" w:noVBand="1"/>
      </w:tblPr>
      <w:tblGrid>
        <w:gridCol w:w="9016"/>
      </w:tblGrid>
      <w:tr w:rsidR="003002A0" w:rsidRPr="008F7C93" w14:paraId="39B40F3D" w14:textId="77777777" w:rsidTr="000F259B">
        <w:tc>
          <w:tcPr>
            <w:tcW w:w="9016" w:type="dxa"/>
            <w:shd w:val="clear" w:color="auto" w:fill="F2F2F2" w:themeFill="background1" w:themeFillShade="F2"/>
          </w:tcPr>
          <w:p w14:paraId="7D54CFC7" w14:textId="77777777" w:rsidR="003002A0" w:rsidRPr="008F7C93" w:rsidRDefault="003002A0" w:rsidP="000F259B">
            <w:pPr>
              <w:spacing w:before="120" w:after="120"/>
              <w:rPr>
                <w:b/>
                <w:bCs/>
                <w:szCs w:val="24"/>
              </w:rPr>
            </w:pPr>
            <w:bookmarkStart w:id="1" w:name="_Hlk113968596"/>
            <w:r w:rsidRPr="008F7C93">
              <w:rPr>
                <w:b/>
                <w:bCs/>
                <w:szCs w:val="24"/>
              </w:rPr>
              <w:t xml:space="preserve">Assessment of the effectiveness and capability of APRA’s resolution function in superannuation </w:t>
            </w:r>
          </w:p>
        </w:tc>
      </w:tr>
      <w:tr w:rsidR="003002A0" w:rsidRPr="008F7C93" w14:paraId="6AC998A2" w14:textId="77777777" w:rsidTr="000F259B">
        <w:tc>
          <w:tcPr>
            <w:tcW w:w="9016" w:type="dxa"/>
          </w:tcPr>
          <w:p w14:paraId="4BB95A12" w14:textId="77777777" w:rsidR="003002A0" w:rsidRPr="008F7C93" w:rsidRDefault="003002A0" w:rsidP="000F259B">
            <w:pPr>
              <w:spacing w:before="120" w:after="120"/>
              <w:rPr>
                <w:i/>
                <w:iCs/>
                <w:szCs w:val="24"/>
              </w:rPr>
            </w:pPr>
            <w:r w:rsidRPr="008F7C93">
              <w:rPr>
                <w:i/>
                <w:iCs/>
                <w:szCs w:val="24"/>
              </w:rPr>
              <w:t>Key questions</w:t>
            </w:r>
          </w:p>
          <w:p w14:paraId="20C1463F" w14:textId="77777777" w:rsidR="003002A0" w:rsidRPr="008F7C93" w:rsidRDefault="003002A0" w:rsidP="00C738D7">
            <w:pPr>
              <w:pStyle w:val="ListParagraph"/>
              <w:numPr>
                <w:ilvl w:val="0"/>
                <w:numId w:val="2"/>
              </w:numPr>
              <w:spacing w:before="120" w:after="120"/>
              <w:ind w:left="357" w:hanging="357"/>
              <w:contextualSpacing w:val="0"/>
              <w:rPr>
                <w:szCs w:val="24"/>
              </w:rPr>
            </w:pPr>
            <w:r w:rsidRPr="008F7C93">
              <w:rPr>
                <w:szCs w:val="24"/>
              </w:rPr>
              <w:t xml:space="preserve">How well is APRA’s resolution function </w:t>
            </w:r>
            <w:r>
              <w:rPr>
                <w:szCs w:val="24"/>
              </w:rPr>
              <w:t xml:space="preserve">communicated to and </w:t>
            </w:r>
            <w:r w:rsidRPr="008F7C93">
              <w:rPr>
                <w:szCs w:val="24"/>
              </w:rPr>
              <w:t xml:space="preserve">understood by the regulated population? </w:t>
            </w:r>
          </w:p>
          <w:p w14:paraId="2604B616" w14:textId="77777777" w:rsidR="00C738D7" w:rsidRDefault="003002A0" w:rsidP="00C738D7">
            <w:pPr>
              <w:pStyle w:val="ListParagraph"/>
              <w:numPr>
                <w:ilvl w:val="0"/>
                <w:numId w:val="2"/>
              </w:numPr>
              <w:spacing w:before="120" w:after="120"/>
              <w:ind w:left="357" w:hanging="357"/>
              <w:contextualSpacing w:val="0"/>
              <w:rPr>
                <w:szCs w:val="24"/>
              </w:rPr>
            </w:pPr>
            <w:r w:rsidRPr="008F7C93">
              <w:rPr>
                <w:szCs w:val="24"/>
              </w:rPr>
              <w:t>How well has APRA prepared industry for the introduction of APRA’s resolution framework?</w:t>
            </w:r>
          </w:p>
          <w:p w14:paraId="21860362" w14:textId="77777777" w:rsidR="00C738D7" w:rsidRDefault="003002A0" w:rsidP="00C738D7">
            <w:pPr>
              <w:pStyle w:val="ListParagraph"/>
              <w:numPr>
                <w:ilvl w:val="0"/>
                <w:numId w:val="2"/>
              </w:numPr>
              <w:spacing w:before="120" w:after="120"/>
              <w:ind w:left="357" w:hanging="357"/>
              <w:contextualSpacing w:val="0"/>
              <w:rPr>
                <w:szCs w:val="24"/>
              </w:rPr>
            </w:pPr>
            <w:r w:rsidRPr="00C738D7">
              <w:rPr>
                <w:szCs w:val="24"/>
              </w:rPr>
              <w:t>How effective is APRA’s resolution function in promoting appropriate outcomes for members?</w:t>
            </w:r>
          </w:p>
          <w:p w14:paraId="42EF20C9" w14:textId="0C18767B" w:rsidR="003002A0" w:rsidRPr="00C738D7" w:rsidRDefault="003002A0" w:rsidP="00C738D7">
            <w:pPr>
              <w:pStyle w:val="ListParagraph"/>
              <w:numPr>
                <w:ilvl w:val="0"/>
                <w:numId w:val="2"/>
              </w:numPr>
              <w:spacing w:before="120" w:after="120"/>
              <w:ind w:left="357" w:hanging="357"/>
              <w:contextualSpacing w:val="0"/>
              <w:rPr>
                <w:szCs w:val="24"/>
              </w:rPr>
            </w:pPr>
            <w:r w:rsidRPr="00C738D7">
              <w:rPr>
                <w:szCs w:val="24"/>
              </w:rPr>
              <w:t>To what extent does APRA have the appropriate organisational capabilities (including, people, data, technology, and systems) for achieving the right outcomes?</w:t>
            </w:r>
          </w:p>
        </w:tc>
      </w:tr>
    </w:tbl>
    <w:bookmarkEnd w:id="1"/>
    <w:p w14:paraId="1888F524" w14:textId="5DB5DC52" w:rsidR="00155F1E" w:rsidRPr="00CF7671" w:rsidRDefault="00155F1E" w:rsidP="00155F1E">
      <w:pPr>
        <w:spacing w:before="240" w:after="120"/>
        <w:rPr>
          <w:rFonts w:ascii="Calibri" w:eastAsia="Yu Gothic Light" w:hAnsi="Calibri" w:cs="Arial"/>
          <w:color w:val="005994"/>
          <w:kern w:val="32"/>
          <w:sz w:val="32"/>
          <w:szCs w:val="32"/>
          <w:lang w:eastAsia="en-AU"/>
        </w:rPr>
      </w:pPr>
      <w:r w:rsidRPr="00CF7671">
        <w:rPr>
          <w:rFonts w:ascii="Calibri" w:eastAsia="Yu Gothic Light" w:hAnsi="Calibri" w:cs="Arial"/>
          <w:color w:val="005994"/>
          <w:kern w:val="32"/>
          <w:sz w:val="32"/>
          <w:szCs w:val="32"/>
          <w:lang w:eastAsia="en-AU"/>
        </w:rPr>
        <w:lastRenderedPageBreak/>
        <w:t>Call for submissions</w:t>
      </w:r>
    </w:p>
    <w:p w14:paraId="593129AA" w14:textId="2D64BA23" w:rsidR="00155F1E" w:rsidRPr="00AB6736" w:rsidRDefault="00155F1E" w:rsidP="00155F1E">
      <w:pPr>
        <w:spacing w:before="120" w:after="120"/>
      </w:pPr>
      <w:r>
        <w:t xml:space="preserve">You can submit responses to this consultation up until 15 December 2022. Interested </w:t>
      </w:r>
      <w:r w:rsidR="004A362E">
        <w:t xml:space="preserve">stakeholders </w:t>
      </w:r>
      <w:r>
        <w:t xml:space="preserve">are invited to provide written submissions in response to this consultation. </w:t>
      </w:r>
      <w:r w:rsidR="004A362E" w:rsidRPr="004A362E">
        <w:t xml:space="preserve">Stakeholders are encouraged to provide responses not only to the key questions, but also </w:t>
      </w:r>
      <w:r w:rsidR="714F0CBB">
        <w:t>comment on</w:t>
      </w:r>
      <w:r w:rsidR="004A362E">
        <w:t xml:space="preserve"> </w:t>
      </w:r>
      <w:r w:rsidR="004A362E" w:rsidRPr="004A362E">
        <w:t>their broader experiences engaging with APRA. Responses are not required to address all key question</w:t>
      </w:r>
      <w:r w:rsidR="004A362E">
        <w:t>s</w:t>
      </w:r>
      <w:r w:rsidR="004A362E" w:rsidRPr="004A362E">
        <w:t>.</w:t>
      </w:r>
      <w:r w:rsidR="004A362E">
        <w:t xml:space="preserve"> </w:t>
      </w:r>
    </w:p>
    <w:p w14:paraId="4E183274" w14:textId="40F54FBE" w:rsidR="00155F1E" w:rsidRPr="00AB6736" w:rsidRDefault="00155F1E" w:rsidP="00155F1E">
      <w:pPr>
        <w:spacing w:before="120" w:after="120"/>
      </w:pPr>
      <w:r>
        <w:t xml:space="preserve">Submissions may be informed by direct experience but should reflect APRA’s effectiveness and capability, rather than the outcomes of individual matters. Where possible, please support submissions with evidence such as data or case studies. The FRAA does not have a role in considering complaints, nor does its role involve assessing or reporting on single cases. </w:t>
      </w:r>
    </w:p>
    <w:p w14:paraId="115461DD" w14:textId="77777777" w:rsidR="00155F1E" w:rsidRPr="00AB6736" w:rsidRDefault="00155F1E" w:rsidP="00155F1E">
      <w:pPr>
        <w:spacing w:before="120" w:after="120"/>
        <w:rPr>
          <w:szCs w:val="24"/>
        </w:rPr>
      </w:pPr>
      <w:r w:rsidRPr="00AB6736">
        <w:rPr>
          <w:szCs w:val="24"/>
        </w:rPr>
        <w:t xml:space="preserve">While submissions may be lodged electronically or by post, electronic lodgement is preferred. For accessibility reasons, please submit responses sent via email in a Word or RTF format. An additional PDF version may also be submitted. </w:t>
      </w:r>
    </w:p>
    <w:p w14:paraId="6D3B06F7" w14:textId="77777777" w:rsidR="00155F1E" w:rsidRPr="00AB6736" w:rsidRDefault="00155F1E" w:rsidP="00155F1E">
      <w:pPr>
        <w:spacing w:before="120" w:after="120"/>
        <w:rPr>
          <w:szCs w:val="24"/>
        </w:rPr>
      </w:pPr>
      <w:r w:rsidRPr="00AB6736">
        <w:rPr>
          <w:szCs w:val="24"/>
        </w:rPr>
        <w:t>All information (including name and address details) contained in submissions will be made available to the public on the Treasury website unless you indicate that you would like all or part of your submission to remain in confidence. Automatically generated confidentiality statements in emails do not suffice for this purpose. Respondents who would like part of their submission to remain in confidence should provide this information marked as such in a separate attachment.</w:t>
      </w:r>
    </w:p>
    <w:p w14:paraId="0C872DF7" w14:textId="77777777" w:rsidR="00155F1E" w:rsidRPr="00AB6736" w:rsidRDefault="00155F1E" w:rsidP="00155F1E">
      <w:pPr>
        <w:spacing w:before="120" w:after="120"/>
        <w:rPr>
          <w:szCs w:val="24"/>
        </w:rPr>
      </w:pPr>
      <w:r w:rsidRPr="00AB6736">
        <w:rPr>
          <w:szCs w:val="24"/>
        </w:rPr>
        <w:t xml:space="preserve">Legal requirements, such as those imposed by the </w:t>
      </w:r>
      <w:r w:rsidRPr="00AB6736">
        <w:rPr>
          <w:i/>
          <w:iCs/>
          <w:szCs w:val="24"/>
        </w:rPr>
        <w:t>Freedom of Information Act 1982</w:t>
      </w:r>
      <w:r w:rsidRPr="00AB6736">
        <w:rPr>
          <w:szCs w:val="24"/>
        </w:rPr>
        <w:t>, may affect the confidentiality of your submission.</w:t>
      </w:r>
    </w:p>
    <w:p w14:paraId="38FB1680" w14:textId="77777777" w:rsidR="00155F1E" w:rsidRPr="00AB6736" w:rsidRDefault="00155F1E" w:rsidP="00155F1E">
      <w:pPr>
        <w:spacing w:before="120" w:after="120"/>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4541"/>
      </w:tblGrid>
      <w:tr w:rsidR="00155F1E" w:rsidRPr="00AB6736" w14:paraId="047745AC" w14:textId="77777777" w:rsidTr="00D4451B">
        <w:tc>
          <w:tcPr>
            <w:tcW w:w="1696" w:type="dxa"/>
          </w:tcPr>
          <w:p w14:paraId="139B0811" w14:textId="77777777" w:rsidR="00155F1E" w:rsidRPr="00AB6736" w:rsidRDefault="00155F1E" w:rsidP="007A7AFB">
            <w:pPr>
              <w:spacing w:before="40" w:after="40"/>
              <w:rPr>
                <w:szCs w:val="24"/>
              </w:rPr>
            </w:pPr>
            <w:r w:rsidRPr="00AB6736">
              <w:rPr>
                <w:szCs w:val="24"/>
              </w:rPr>
              <w:t>Email</w:t>
            </w:r>
          </w:p>
        </w:tc>
        <w:tc>
          <w:tcPr>
            <w:tcW w:w="4541" w:type="dxa"/>
          </w:tcPr>
          <w:p w14:paraId="3D91264E" w14:textId="77777777" w:rsidR="00155F1E" w:rsidRPr="00AB6736" w:rsidRDefault="00E5192C" w:rsidP="007A7AFB">
            <w:pPr>
              <w:spacing w:before="40" w:after="40"/>
              <w:rPr>
                <w:szCs w:val="24"/>
              </w:rPr>
            </w:pPr>
            <w:hyperlink r:id="rId11" w:history="1">
              <w:r w:rsidR="00155F1E" w:rsidRPr="00AB6736">
                <w:rPr>
                  <w:rStyle w:val="Hyperlink"/>
                  <w:szCs w:val="24"/>
                </w:rPr>
                <w:t>FRAA@treasury.gov.au</w:t>
              </w:r>
            </w:hyperlink>
            <w:r w:rsidR="00155F1E" w:rsidRPr="00AB6736">
              <w:rPr>
                <w:szCs w:val="24"/>
              </w:rPr>
              <w:t xml:space="preserve"> </w:t>
            </w:r>
          </w:p>
        </w:tc>
      </w:tr>
      <w:tr w:rsidR="00155F1E" w:rsidRPr="00AB6736" w14:paraId="43DABA8C" w14:textId="77777777" w:rsidTr="00D4451B">
        <w:tc>
          <w:tcPr>
            <w:tcW w:w="1696" w:type="dxa"/>
          </w:tcPr>
          <w:p w14:paraId="6EB887F6" w14:textId="77777777" w:rsidR="00155F1E" w:rsidRPr="00AB6736" w:rsidRDefault="00155F1E" w:rsidP="007A7AFB">
            <w:pPr>
              <w:spacing w:before="40" w:after="40"/>
              <w:rPr>
                <w:szCs w:val="24"/>
              </w:rPr>
            </w:pPr>
            <w:r w:rsidRPr="00AB6736">
              <w:rPr>
                <w:szCs w:val="24"/>
              </w:rPr>
              <w:t>Mail</w:t>
            </w:r>
          </w:p>
        </w:tc>
        <w:tc>
          <w:tcPr>
            <w:tcW w:w="4541" w:type="dxa"/>
          </w:tcPr>
          <w:p w14:paraId="3844D636" w14:textId="77777777" w:rsidR="00155F1E" w:rsidRPr="00AB6736" w:rsidRDefault="00155F1E" w:rsidP="007A7AFB">
            <w:pPr>
              <w:spacing w:before="40" w:after="40"/>
              <w:rPr>
                <w:szCs w:val="24"/>
              </w:rPr>
            </w:pPr>
            <w:r w:rsidRPr="00AB6736">
              <w:rPr>
                <w:szCs w:val="24"/>
              </w:rPr>
              <w:t>Financial Regulator Assessment Authority</w:t>
            </w:r>
            <w:r w:rsidRPr="00AB6736">
              <w:rPr>
                <w:szCs w:val="24"/>
              </w:rPr>
              <w:br/>
              <w:t>The Treasury</w:t>
            </w:r>
            <w:r w:rsidRPr="00AB6736">
              <w:rPr>
                <w:szCs w:val="24"/>
              </w:rPr>
              <w:br/>
              <w:t xml:space="preserve">Langton Crescent </w:t>
            </w:r>
            <w:r w:rsidRPr="00AB6736">
              <w:rPr>
                <w:szCs w:val="24"/>
              </w:rPr>
              <w:br/>
              <w:t>PARKES ACT 2600</w:t>
            </w:r>
          </w:p>
        </w:tc>
      </w:tr>
      <w:tr w:rsidR="00155F1E" w:rsidRPr="00AB6736" w14:paraId="04136EE6" w14:textId="77777777" w:rsidTr="00D4451B">
        <w:tc>
          <w:tcPr>
            <w:tcW w:w="1696" w:type="dxa"/>
          </w:tcPr>
          <w:p w14:paraId="39335A09" w14:textId="77777777" w:rsidR="00155F1E" w:rsidRPr="00AB6736" w:rsidRDefault="00155F1E" w:rsidP="007A7AFB">
            <w:pPr>
              <w:spacing w:before="40" w:after="40"/>
              <w:rPr>
                <w:szCs w:val="24"/>
              </w:rPr>
            </w:pPr>
            <w:r w:rsidRPr="00AB6736">
              <w:rPr>
                <w:szCs w:val="24"/>
              </w:rPr>
              <w:t xml:space="preserve">Enquiries </w:t>
            </w:r>
          </w:p>
        </w:tc>
        <w:tc>
          <w:tcPr>
            <w:tcW w:w="4541" w:type="dxa"/>
          </w:tcPr>
          <w:p w14:paraId="0211E88F" w14:textId="77777777" w:rsidR="00155F1E" w:rsidRPr="00AB6736" w:rsidRDefault="00155F1E" w:rsidP="007A7AFB">
            <w:pPr>
              <w:spacing w:before="40" w:after="40"/>
              <w:rPr>
                <w:szCs w:val="24"/>
              </w:rPr>
            </w:pPr>
            <w:r w:rsidRPr="00AB6736">
              <w:rPr>
                <w:szCs w:val="24"/>
              </w:rPr>
              <w:t>FRAA@treasury.gov.au</w:t>
            </w:r>
          </w:p>
        </w:tc>
      </w:tr>
    </w:tbl>
    <w:p w14:paraId="6A92C08A" w14:textId="77777777" w:rsidR="00111755" w:rsidRPr="00155F1E" w:rsidRDefault="00111755" w:rsidP="00155F1E"/>
    <w:sectPr w:rsidR="00111755" w:rsidRPr="00155F1E" w:rsidSect="00C53253">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158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B2715" w14:textId="77777777" w:rsidR="00775DBA" w:rsidRDefault="00775DBA" w:rsidP="00387977">
      <w:pPr>
        <w:spacing w:after="0"/>
      </w:pPr>
      <w:r>
        <w:separator/>
      </w:r>
    </w:p>
  </w:endnote>
  <w:endnote w:type="continuationSeparator" w:id="0">
    <w:p w14:paraId="1902F865" w14:textId="77777777" w:rsidR="00775DBA" w:rsidRDefault="00775DBA" w:rsidP="00387977">
      <w:pPr>
        <w:spacing w:after="0"/>
      </w:pPr>
      <w:r>
        <w:continuationSeparator/>
      </w:r>
    </w:p>
  </w:endnote>
  <w:endnote w:type="continuationNotice" w:id="1">
    <w:p w14:paraId="733B2F76" w14:textId="77777777" w:rsidR="00775DBA" w:rsidRDefault="00775DB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6E72A" w14:textId="77777777" w:rsidR="00387977" w:rsidRDefault="00387977">
    <w:pPr>
      <w:pStyle w:val="Footer"/>
    </w:pPr>
  </w:p>
  <w:p w14:paraId="0A61E9E9" w14:textId="24AA7483" w:rsidR="0089049F" w:rsidRDefault="00775DBA" w:rsidP="0089049F">
    <w:pPr>
      <w:pStyle w:val="SecurityClassificationFooter"/>
    </w:pPr>
    <w:fldSimple w:instr="DOCPROPERTY WorkingDocStatus \* MERGEFORMAT">
      <w:r w:rsidR="0089049F">
        <w:t>DRAFT WORKING DOCUMENT</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780354"/>
      <w:docPartObj>
        <w:docPartGallery w:val="Page Numbers (Bottom of Page)"/>
        <w:docPartUnique/>
      </w:docPartObj>
    </w:sdtPr>
    <w:sdtEndPr>
      <w:rPr>
        <w:noProof/>
      </w:rPr>
    </w:sdtEndPr>
    <w:sdtContent>
      <w:p w14:paraId="0AFD13A2" w14:textId="4B27DBC0" w:rsidR="0089049F" w:rsidRPr="00036870" w:rsidRDefault="00A43812" w:rsidP="00036870">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5C963" w14:textId="77777777" w:rsidR="00387977" w:rsidRDefault="00387977">
    <w:pPr>
      <w:pStyle w:val="Footer"/>
    </w:pPr>
  </w:p>
  <w:p w14:paraId="2324F83A" w14:textId="10650BDE" w:rsidR="0089049F" w:rsidRDefault="00775DBA" w:rsidP="0089049F">
    <w:pPr>
      <w:pStyle w:val="SecurityClassificationFooter"/>
    </w:pPr>
    <w:fldSimple w:instr="DOCPROPERTY WorkingDocStatus \* MERGEFORMAT">
      <w:r w:rsidR="0089049F">
        <w:t>DRAFT WORKING DOCUMENT</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BFEF5" w14:textId="77777777" w:rsidR="00775DBA" w:rsidRDefault="00775DBA" w:rsidP="00387977">
      <w:pPr>
        <w:spacing w:after="0"/>
      </w:pPr>
      <w:r>
        <w:separator/>
      </w:r>
    </w:p>
  </w:footnote>
  <w:footnote w:type="continuationSeparator" w:id="0">
    <w:p w14:paraId="1FAA6DA0" w14:textId="77777777" w:rsidR="00775DBA" w:rsidRDefault="00775DBA" w:rsidP="00387977">
      <w:pPr>
        <w:spacing w:after="0"/>
      </w:pPr>
      <w:r>
        <w:continuationSeparator/>
      </w:r>
    </w:p>
  </w:footnote>
  <w:footnote w:type="continuationNotice" w:id="1">
    <w:p w14:paraId="6EA92E5E" w14:textId="77777777" w:rsidR="00775DBA" w:rsidRDefault="00775DB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BB546" w14:textId="22F27342" w:rsidR="00387977" w:rsidRDefault="00775DBA" w:rsidP="0089049F">
    <w:pPr>
      <w:pStyle w:val="SecurityClassificationHeader"/>
    </w:pPr>
    <w:fldSimple w:instr="DOCPROPERTY WorkingDocStatus \* MERGEFORMAT">
      <w:r w:rsidR="0089049F">
        <w:t>DRAFT WORKING DOCUMENT</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16EF3" w14:textId="18C00560" w:rsidR="00387977" w:rsidRPr="00993CCE" w:rsidRDefault="00F917A7" w:rsidP="00993CCE">
    <w:pPr>
      <w:pStyle w:val="SecurityClassificationHeader"/>
      <w:spacing w:before="120" w:after="120"/>
      <w:rPr>
        <w:color w:val="auto"/>
      </w:rPr>
    </w:pPr>
    <w:r>
      <w:rPr>
        <w:noProof/>
      </w:rPr>
      <w:drawing>
        <wp:anchor distT="0" distB="0" distL="114300" distR="114300" simplePos="0" relativeHeight="251657216" behindDoc="1" locked="0" layoutInCell="1" allowOverlap="1" wp14:anchorId="190B483D" wp14:editId="0002139B">
          <wp:simplePos x="0" y="0"/>
          <wp:positionH relativeFrom="margin">
            <wp:align>center</wp:align>
          </wp:positionH>
          <wp:positionV relativeFrom="page">
            <wp:posOffset>3761</wp:posOffset>
          </wp:positionV>
          <wp:extent cx="7534800" cy="1393200"/>
          <wp:effectExtent l="0" t="0" r="952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34800" cy="1393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987E7" w14:textId="5A813550" w:rsidR="00387977" w:rsidRPr="0089049F" w:rsidRDefault="00775DBA" w:rsidP="0089049F">
    <w:pPr>
      <w:pStyle w:val="SecurityClassificationHeader"/>
    </w:pPr>
    <w:fldSimple w:instr="DOCPROPERTY WorkingDocStatus \* MERGEFORMAT">
      <w:r w:rsidR="0089049F">
        <w:t>DRAFT WORKING DOCUMENT</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8057A"/>
    <w:multiLevelType w:val="hybridMultilevel"/>
    <w:tmpl w:val="D6E8276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7072241C"/>
    <w:multiLevelType w:val="hybridMultilevel"/>
    <w:tmpl w:val="D6E8276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OIClassificationInHeader" w:val="True"/>
    <w:docVar w:name="SecurityClassificationInHeader" w:val="False"/>
    <w:docVar w:name="SecurityDLMInHeader" w:val="False"/>
  </w:docVars>
  <w:rsids>
    <w:rsidRoot w:val="00C3106C"/>
    <w:rsid w:val="00001022"/>
    <w:rsid w:val="00001162"/>
    <w:rsid w:val="00002034"/>
    <w:rsid w:val="000027E4"/>
    <w:rsid w:val="00007EB9"/>
    <w:rsid w:val="000362A2"/>
    <w:rsid w:val="00036870"/>
    <w:rsid w:val="0004553A"/>
    <w:rsid w:val="000465B0"/>
    <w:rsid w:val="000469B3"/>
    <w:rsid w:val="000727ED"/>
    <w:rsid w:val="000800B1"/>
    <w:rsid w:val="00080362"/>
    <w:rsid w:val="00080F44"/>
    <w:rsid w:val="000B3323"/>
    <w:rsid w:val="000B4DBF"/>
    <w:rsid w:val="000C564A"/>
    <w:rsid w:val="000C6C62"/>
    <w:rsid w:val="000D2EE0"/>
    <w:rsid w:val="000D6ABF"/>
    <w:rsid w:val="000D7A95"/>
    <w:rsid w:val="000E1608"/>
    <w:rsid w:val="000E4564"/>
    <w:rsid w:val="00104946"/>
    <w:rsid w:val="00111755"/>
    <w:rsid w:val="00125BB7"/>
    <w:rsid w:val="00125C72"/>
    <w:rsid w:val="00133A04"/>
    <w:rsid w:val="00140C67"/>
    <w:rsid w:val="00155F1E"/>
    <w:rsid w:val="00156D31"/>
    <w:rsid w:val="00166493"/>
    <w:rsid w:val="001740D5"/>
    <w:rsid w:val="00184ED0"/>
    <w:rsid w:val="001A30E9"/>
    <w:rsid w:val="001B7D58"/>
    <w:rsid w:val="001E48CB"/>
    <w:rsid w:val="0020049A"/>
    <w:rsid w:val="00221B26"/>
    <w:rsid w:val="0024732D"/>
    <w:rsid w:val="00254C03"/>
    <w:rsid w:val="00282D8E"/>
    <w:rsid w:val="00296A24"/>
    <w:rsid w:val="002A4C39"/>
    <w:rsid w:val="002D72B8"/>
    <w:rsid w:val="002F648C"/>
    <w:rsid w:val="002F79DA"/>
    <w:rsid w:val="002F7BA8"/>
    <w:rsid w:val="003002A0"/>
    <w:rsid w:val="00301551"/>
    <w:rsid w:val="00317DB6"/>
    <w:rsid w:val="00333EF4"/>
    <w:rsid w:val="00336593"/>
    <w:rsid w:val="00345C28"/>
    <w:rsid w:val="003606F5"/>
    <w:rsid w:val="00365A36"/>
    <w:rsid w:val="003757F4"/>
    <w:rsid w:val="003826CF"/>
    <w:rsid w:val="00387977"/>
    <w:rsid w:val="00390D65"/>
    <w:rsid w:val="003A3229"/>
    <w:rsid w:val="003B216B"/>
    <w:rsid w:val="003D6780"/>
    <w:rsid w:val="003E5234"/>
    <w:rsid w:val="003F483D"/>
    <w:rsid w:val="003F6645"/>
    <w:rsid w:val="00410D7A"/>
    <w:rsid w:val="00466C48"/>
    <w:rsid w:val="0047252B"/>
    <w:rsid w:val="0047353B"/>
    <w:rsid w:val="00476B5B"/>
    <w:rsid w:val="004953A9"/>
    <w:rsid w:val="004A2286"/>
    <w:rsid w:val="004A362E"/>
    <w:rsid w:val="004C711C"/>
    <w:rsid w:val="004E5815"/>
    <w:rsid w:val="004F0AD1"/>
    <w:rsid w:val="0050411D"/>
    <w:rsid w:val="00506EA9"/>
    <w:rsid w:val="00520946"/>
    <w:rsid w:val="00524CCE"/>
    <w:rsid w:val="00550A4B"/>
    <w:rsid w:val="005609E2"/>
    <w:rsid w:val="005C7BEF"/>
    <w:rsid w:val="005D78BF"/>
    <w:rsid w:val="005D7F3A"/>
    <w:rsid w:val="00647531"/>
    <w:rsid w:val="006572ED"/>
    <w:rsid w:val="0068040B"/>
    <w:rsid w:val="00680B8E"/>
    <w:rsid w:val="00690A25"/>
    <w:rsid w:val="00690A32"/>
    <w:rsid w:val="006E2E40"/>
    <w:rsid w:val="006E7FB2"/>
    <w:rsid w:val="00701410"/>
    <w:rsid w:val="00704E41"/>
    <w:rsid w:val="00720A01"/>
    <w:rsid w:val="00720D8F"/>
    <w:rsid w:val="00725BE7"/>
    <w:rsid w:val="00726E81"/>
    <w:rsid w:val="00747524"/>
    <w:rsid w:val="00771705"/>
    <w:rsid w:val="007738E7"/>
    <w:rsid w:val="00775DBA"/>
    <w:rsid w:val="0078726F"/>
    <w:rsid w:val="007A5DBF"/>
    <w:rsid w:val="007A6CCC"/>
    <w:rsid w:val="007A7AFB"/>
    <w:rsid w:val="007C7F1D"/>
    <w:rsid w:val="007D47EB"/>
    <w:rsid w:val="007E03F5"/>
    <w:rsid w:val="007E2E9A"/>
    <w:rsid w:val="007F4F63"/>
    <w:rsid w:val="00851B50"/>
    <w:rsid w:val="00867C21"/>
    <w:rsid w:val="00874AFB"/>
    <w:rsid w:val="008770A9"/>
    <w:rsid w:val="0089049F"/>
    <w:rsid w:val="008A01F2"/>
    <w:rsid w:val="008A0799"/>
    <w:rsid w:val="008B3D91"/>
    <w:rsid w:val="008C1504"/>
    <w:rsid w:val="008C1AA4"/>
    <w:rsid w:val="008C65AB"/>
    <w:rsid w:val="008F1D19"/>
    <w:rsid w:val="008F7C93"/>
    <w:rsid w:val="008F7E2B"/>
    <w:rsid w:val="00903D80"/>
    <w:rsid w:val="009067F0"/>
    <w:rsid w:val="0092692B"/>
    <w:rsid w:val="009928CA"/>
    <w:rsid w:val="00993CCE"/>
    <w:rsid w:val="009946AE"/>
    <w:rsid w:val="009A51A9"/>
    <w:rsid w:val="009C0D51"/>
    <w:rsid w:val="009C6760"/>
    <w:rsid w:val="009D0007"/>
    <w:rsid w:val="009E008A"/>
    <w:rsid w:val="009E406B"/>
    <w:rsid w:val="009E769E"/>
    <w:rsid w:val="009F0DE2"/>
    <w:rsid w:val="00A16A1F"/>
    <w:rsid w:val="00A20E3C"/>
    <w:rsid w:val="00A211EF"/>
    <w:rsid w:val="00A2309A"/>
    <w:rsid w:val="00A43812"/>
    <w:rsid w:val="00A4736C"/>
    <w:rsid w:val="00A517C0"/>
    <w:rsid w:val="00A71D8B"/>
    <w:rsid w:val="00A855B6"/>
    <w:rsid w:val="00A86BC7"/>
    <w:rsid w:val="00A86E77"/>
    <w:rsid w:val="00A90437"/>
    <w:rsid w:val="00AA1B6B"/>
    <w:rsid w:val="00AA7982"/>
    <w:rsid w:val="00AB6236"/>
    <w:rsid w:val="00AC0265"/>
    <w:rsid w:val="00AD66CA"/>
    <w:rsid w:val="00AF6869"/>
    <w:rsid w:val="00B024C4"/>
    <w:rsid w:val="00B135A2"/>
    <w:rsid w:val="00B13BDE"/>
    <w:rsid w:val="00B232AB"/>
    <w:rsid w:val="00B34AC6"/>
    <w:rsid w:val="00B3669C"/>
    <w:rsid w:val="00B37B60"/>
    <w:rsid w:val="00B53651"/>
    <w:rsid w:val="00B575F6"/>
    <w:rsid w:val="00B673D2"/>
    <w:rsid w:val="00B7579B"/>
    <w:rsid w:val="00B86A8A"/>
    <w:rsid w:val="00B86E51"/>
    <w:rsid w:val="00B919ED"/>
    <w:rsid w:val="00B91DA5"/>
    <w:rsid w:val="00BA5E7A"/>
    <w:rsid w:val="00BA7DDC"/>
    <w:rsid w:val="00BC65BD"/>
    <w:rsid w:val="00BD1A23"/>
    <w:rsid w:val="00C03306"/>
    <w:rsid w:val="00C03C40"/>
    <w:rsid w:val="00C044C2"/>
    <w:rsid w:val="00C137DB"/>
    <w:rsid w:val="00C3106C"/>
    <w:rsid w:val="00C41EE5"/>
    <w:rsid w:val="00C53253"/>
    <w:rsid w:val="00C554A2"/>
    <w:rsid w:val="00C60EB2"/>
    <w:rsid w:val="00C6459E"/>
    <w:rsid w:val="00C738D7"/>
    <w:rsid w:val="00C746DD"/>
    <w:rsid w:val="00C76BF0"/>
    <w:rsid w:val="00C840A4"/>
    <w:rsid w:val="00CA1955"/>
    <w:rsid w:val="00CB32D9"/>
    <w:rsid w:val="00CC7990"/>
    <w:rsid w:val="00CF7671"/>
    <w:rsid w:val="00CF7930"/>
    <w:rsid w:val="00CF79AD"/>
    <w:rsid w:val="00CF7C5C"/>
    <w:rsid w:val="00D03C40"/>
    <w:rsid w:val="00D104A7"/>
    <w:rsid w:val="00D26772"/>
    <w:rsid w:val="00D31E76"/>
    <w:rsid w:val="00D34B2A"/>
    <w:rsid w:val="00D35312"/>
    <w:rsid w:val="00D37728"/>
    <w:rsid w:val="00D43F54"/>
    <w:rsid w:val="00D4451B"/>
    <w:rsid w:val="00D5019A"/>
    <w:rsid w:val="00D75725"/>
    <w:rsid w:val="00DB0AC1"/>
    <w:rsid w:val="00DB5A40"/>
    <w:rsid w:val="00DB5E48"/>
    <w:rsid w:val="00DD6E08"/>
    <w:rsid w:val="00DF0A08"/>
    <w:rsid w:val="00E06227"/>
    <w:rsid w:val="00E12BB2"/>
    <w:rsid w:val="00E20FA4"/>
    <w:rsid w:val="00E21276"/>
    <w:rsid w:val="00E32278"/>
    <w:rsid w:val="00E33C16"/>
    <w:rsid w:val="00E42135"/>
    <w:rsid w:val="00E4346C"/>
    <w:rsid w:val="00E465BF"/>
    <w:rsid w:val="00E5192C"/>
    <w:rsid w:val="00E6029F"/>
    <w:rsid w:val="00E60A7A"/>
    <w:rsid w:val="00E748E5"/>
    <w:rsid w:val="00E823FF"/>
    <w:rsid w:val="00EB53E1"/>
    <w:rsid w:val="00EC0D34"/>
    <w:rsid w:val="00EC46AF"/>
    <w:rsid w:val="00ED150F"/>
    <w:rsid w:val="00EE1B8F"/>
    <w:rsid w:val="00EF0D34"/>
    <w:rsid w:val="00EF30E1"/>
    <w:rsid w:val="00F00489"/>
    <w:rsid w:val="00F05AE0"/>
    <w:rsid w:val="00F07749"/>
    <w:rsid w:val="00F12BFE"/>
    <w:rsid w:val="00F26E37"/>
    <w:rsid w:val="00F440F6"/>
    <w:rsid w:val="00F917A7"/>
    <w:rsid w:val="00FB13AF"/>
    <w:rsid w:val="00FC4F48"/>
    <w:rsid w:val="00FD03DC"/>
    <w:rsid w:val="00FD5B87"/>
    <w:rsid w:val="04856EFB"/>
    <w:rsid w:val="0DA95FEE"/>
    <w:rsid w:val="1418A172"/>
    <w:rsid w:val="1468C3ED"/>
    <w:rsid w:val="17148E6D"/>
    <w:rsid w:val="1844C351"/>
    <w:rsid w:val="273F6D5B"/>
    <w:rsid w:val="27E571F9"/>
    <w:rsid w:val="2802C983"/>
    <w:rsid w:val="299AC43A"/>
    <w:rsid w:val="2B441BD0"/>
    <w:rsid w:val="2EB04218"/>
    <w:rsid w:val="2F4AA97A"/>
    <w:rsid w:val="35F48368"/>
    <w:rsid w:val="39FAE245"/>
    <w:rsid w:val="3C3EE3B9"/>
    <w:rsid w:val="3C675C44"/>
    <w:rsid w:val="3EF32230"/>
    <w:rsid w:val="3EF9F375"/>
    <w:rsid w:val="41F9C0D3"/>
    <w:rsid w:val="427D129F"/>
    <w:rsid w:val="42ECBB9F"/>
    <w:rsid w:val="48BFFCA0"/>
    <w:rsid w:val="4E0515B8"/>
    <w:rsid w:val="4E684B7B"/>
    <w:rsid w:val="50CBEF05"/>
    <w:rsid w:val="547DD859"/>
    <w:rsid w:val="5993181B"/>
    <w:rsid w:val="5D14B345"/>
    <w:rsid w:val="5ED0F5F2"/>
    <w:rsid w:val="68FF53C7"/>
    <w:rsid w:val="696C32A3"/>
    <w:rsid w:val="711234D0"/>
    <w:rsid w:val="714F0CBB"/>
    <w:rsid w:val="71572BBF"/>
    <w:rsid w:val="7261C453"/>
    <w:rsid w:val="77E5306A"/>
    <w:rsid w:val="7BDA3C32"/>
    <w:rsid w:val="7CFC698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1F1CBD"/>
  <w15:chartTrackingRefBased/>
  <w15:docId w15:val="{9AB48C60-D00C-4908-8F40-2B1C9BDDF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F1E"/>
    <w:pPr>
      <w:spacing w:after="24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6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6E81"/>
    <w:rPr>
      <w:color w:val="0563C1" w:themeColor="hyperlink"/>
      <w:u w:val="single"/>
    </w:rPr>
  </w:style>
  <w:style w:type="paragraph" w:styleId="ListParagraph">
    <w:name w:val="List Paragraph"/>
    <w:basedOn w:val="Normal"/>
    <w:uiPriority w:val="34"/>
    <w:qFormat/>
    <w:rsid w:val="00726E81"/>
    <w:pPr>
      <w:spacing w:after="160" w:line="259" w:lineRule="auto"/>
      <w:ind w:left="720"/>
      <w:contextualSpacing/>
    </w:pPr>
    <w:rPr>
      <w:sz w:val="22"/>
    </w:rPr>
  </w:style>
  <w:style w:type="paragraph" w:styleId="Header">
    <w:name w:val="header"/>
    <w:basedOn w:val="Normal"/>
    <w:link w:val="HeaderChar"/>
    <w:uiPriority w:val="99"/>
    <w:unhideWhenUsed/>
    <w:rsid w:val="00387977"/>
    <w:pPr>
      <w:tabs>
        <w:tab w:val="center" w:pos="4513"/>
        <w:tab w:val="right" w:pos="9026"/>
      </w:tabs>
      <w:spacing w:after="0"/>
    </w:pPr>
  </w:style>
  <w:style w:type="character" w:customStyle="1" w:styleId="HeaderChar">
    <w:name w:val="Header Char"/>
    <w:basedOn w:val="DefaultParagraphFont"/>
    <w:link w:val="Header"/>
    <w:uiPriority w:val="99"/>
    <w:rsid w:val="00387977"/>
    <w:rPr>
      <w:sz w:val="24"/>
    </w:rPr>
  </w:style>
  <w:style w:type="paragraph" w:styleId="Footer">
    <w:name w:val="footer"/>
    <w:basedOn w:val="Normal"/>
    <w:link w:val="FooterChar"/>
    <w:uiPriority w:val="99"/>
    <w:unhideWhenUsed/>
    <w:rsid w:val="00387977"/>
    <w:pPr>
      <w:tabs>
        <w:tab w:val="center" w:pos="4513"/>
        <w:tab w:val="right" w:pos="9026"/>
      </w:tabs>
      <w:spacing w:after="0"/>
    </w:pPr>
  </w:style>
  <w:style w:type="character" w:customStyle="1" w:styleId="FooterChar">
    <w:name w:val="Footer Char"/>
    <w:basedOn w:val="DefaultParagraphFont"/>
    <w:link w:val="Footer"/>
    <w:uiPriority w:val="99"/>
    <w:rsid w:val="00387977"/>
    <w:rPr>
      <w:sz w:val="24"/>
    </w:rPr>
  </w:style>
  <w:style w:type="paragraph" w:customStyle="1" w:styleId="SecurityClassificationHeader">
    <w:name w:val="Security Classification Header"/>
    <w:link w:val="SecurityClassificationHeaderChar"/>
    <w:rsid w:val="00C6459E"/>
    <w:pPr>
      <w:spacing w:before="360" w:after="60"/>
      <w:jc w:val="center"/>
    </w:pPr>
    <w:rPr>
      <w:b/>
      <w:color w:val="FF0000"/>
      <w:sz w:val="24"/>
    </w:rPr>
  </w:style>
  <w:style w:type="character" w:customStyle="1" w:styleId="SecurityClassificationHeaderChar">
    <w:name w:val="Security Classification Header Char"/>
    <w:basedOn w:val="HeaderChar"/>
    <w:link w:val="SecurityClassificationHeader"/>
    <w:rsid w:val="00C6459E"/>
    <w:rPr>
      <w:b/>
      <w:color w:val="FF0000"/>
      <w:sz w:val="24"/>
    </w:rPr>
  </w:style>
  <w:style w:type="paragraph" w:customStyle="1" w:styleId="SecurityClassificationFooter">
    <w:name w:val="Security Classification Footer"/>
    <w:link w:val="SecurityClassificationFooterChar"/>
    <w:rsid w:val="00C6459E"/>
    <w:pPr>
      <w:spacing w:before="240" w:after="60"/>
      <w:jc w:val="center"/>
    </w:pPr>
    <w:rPr>
      <w:b/>
      <w:color w:val="FF0000"/>
      <w:sz w:val="24"/>
    </w:rPr>
  </w:style>
  <w:style w:type="character" w:customStyle="1" w:styleId="SecurityClassificationFooterChar">
    <w:name w:val="Security Classification Footer Char"/>
    <w:basedOn w:val="HeaderChar"/>
    <w:link w:val="SecurityClassificationFooter"/>
    <w:rsid w:val="00C6459E"/>
    <w:rPr>
      <w:b/>
      <w:color w:val="FF0000"/>
      <w:sz w:val="24"/>
    </w:rPr>
  </w:style>
  <w:style w:type="paragraph" w:customStyle="1" w:styleId="DLMSecurityHeader">
    <w:name w:val="DLM Security Header"/>
    <w:link w:val="DLMSecurityHeaderChar"/>
    <w:rsid w:val="00C6459E"/>
    <w:pPr>
      <w:spacing w:before="360" w:after="60"/>
      <w:jc w:val="center"/>
    </w:pPr>
    <w:rPr>
      <w:b/>
      <w:color w:val="FF0000"/>
      <w:sz w:val="24"/>
    </w:rPr>
  </w:style>
  <w:style w:type="character" w:customStyle="1" w:styleId="DLMSecurityHeaderChar">
    <w:name w:val="DLM Security Header Char"/>
    <w:basedOn w:val="HeaderChar"/>
    <w:link w:val="DLMSecurityHeader"/>
    <w:rsid w:val="00C6459E"/>
    <w:rPr>
      <w:b/>
      <w:color w:val="FF0000"/>
      <w:sz w:val="24"/>
    </w:rPr>
  </w:style>
  <w:style w:type="paragraph" w:customStyle="1" w:styleId="DLMSecurityFooter">
    <w:name w:val="DLM Security Footer"/>
    <w:link w:val="DLMSecurityFooterChar"/>
    <w:rsid w:val="00C6459E"/>
    <w:pPr>
      <w:spacing w:before="360" w:after="60"/>
      <w:jc w:val="center"/>
    </w:pPr>
    <w:rPr>
      <w:b/>
      <w:color w:val="FF0000"/>
      <w:sz w:val="24"/>
    </w:rPr>
  </w:style>
  <w:style w:type="character" w:customStyle="1" w:styleId="DLMSecurityFooterChar">
    <w:name w:val="DLM Security Footer Char"/>
    <w:basedOn w:val="HeaderChar"/>
    <w:link w:val="DLMSecurityFooter"/>
    <w:rsid w:val="00C6459E"/>
    <w:rPr>
      <w:b/>
      <w:color w:val="FF0000"/>
      <w:sz w:val="24"/>
    </w:rPr>
  </w:style>
  <w:style w:type="paragraph" w:customStyle="1" w:styleId="paragraph">
    <w:name w:val="paragraph"/>
    <w:basedOn w:val="Normal"/>
    <w:link w:val="paragraphChar"/>
    <w:rsid w:val="00155F1E"/>
    <w:pPr>
      <w:spacing w:before="100" w:beforeAutospacing="1" w:after="100" w:afterAutospacing="1"/>
    </w:pPr>
    <w:rPr>
      <w:rFonts w:ascii="Times New Roman" w:eastAsia="Times New Roman" w:hAnsi="Times New Roman" w:cs="Times New Roman"/>
      <w:szCs w:val="24"/>
      <w:lang w:eastAsia="en-AU"/>
    </w:rPr>
  </w:style>
  <w:style w:type="character" w:customStyle="1" w:styleId="normaltextrun">
    <w:name w:val="normaltextrun"/>
    <w:basedOn w:val="DefaultParagraphFont"/>
    <w:rsid w:val="00155F1E"/>
  </w:style>
  <w:style w:type="character" w:customStyle="1" w:styleId="eop">
    <w:name w:val="eop"/>
    <w:basedOn w:val="DefaultParagraphFont"/>
    <w:rsid w:val="00155F1E"/>
  </w:style>
  <w:style w:type="character" w:customStyle="1" w:styleId="paragraphChar">
    <w:name w:val="paragraph Char"/>
    <w:basedOn w:val="DefaultParagraphFont"/>
    <w:link w:val="paragraph"/>
    <w:rsid w:val="00155F1E"/>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9C6760"/>
    <w:rPr>
      <w:sz w:val="16"/>
      <w:szCs w:val="16"/>
    </w:rPr>
  </w:style>
  <w:style w:type="paragraph" w:styleId="CommentText">
    <w:name w:val="annotation text"/>
    <w:basedOn w:val="Normal"/>
    <w:link w:val="CommentTextChar"/>
    <w:uiPriority w:val="99"/>
    <w:semiHidden/>
    <w:unhideWhenUsed/>
    <w:rsid w:val="009C6760"/>
    <w:rPr>
      <w:sz w:val="20"/>
      <w:szCs w:val="20"/>
    </w:rPr>
  </w:style>
  <w:style w:type="character" w:customStyle="1" w:styleId="CommentTextChar">
    <w:name w:val="Comment Text Char"/>
    <w:basedOn w:val="DefaultParagraphFont"/>
    <w:link w:val="CommentText"/>
    <w:uiPriority w:val="99"/>
    <w:semiHidden/>
    <w:rsid w:val="009C6760"/>
    <w:rPr>
      <w:sz w:val="20"/>
      <w:szCs w:val="20"/>
    </w:rPr>
  </w:style>
  <w:style w:type="paragraph" w:styleId="CommentSubject">
    <w:name w:val="annotation subject"/>
    <w:basedOn w:val="CommentText"/>
    <w:next w:val="CommentText"/>
    <w:link w:val="CommentSubjectChar"/>
    <w:uiPriority w:val="99"/>
    <w:semiHidden/>
    <w:unhideWhenUsed/>
    <w:rsid w:val="009C6760"/>
    <w:rPr>
      <w:b/>
      <w:bCs/>
    </w:rPr>
  </w:style>
  <w:style w:type="character" w:customStyle="1" w:styleId="CommentSubjectChar">
    <w:name w:val="Comment Subject Char"/>
    <w:basedOn w:val="CommentTextChar"/>
    <w:link w:val="CommentSubject"/>
    <w:uiPriority w:val="99"/>
    <w:semiHidden/>
    <w:rsid w:val="009C6760"/>
    <w:rPr>
      <w:b/>
      <w:bCs/>
      <w:sz w:val="20"/>
      <w:szCs w:val="20"/>
    </w:rPr>
  </w:style>
  <w:style w:type="character" w:styleId="UnresolvedMention">
    <w:name w:val="Unresolved Mention"/>
    <w:basedOn w:val="DefaultParagraphFont"/>
    <w:uiPriority w:val="99"/>
    <w:unhideWhenUsed/>
    <w:rsid w:val="009C6760"/>
    <w:rPr>
      <w:color w:val="605E5C"/>
      <w:shd w:val="clear" w:color="auto" w:fill="E1DFDD"/>
    </w:rPr>
  </w:style>
  <w:style w:type="character" w:styleId="Mention">
    <w:name w:val="Mention"/>
    <w:basedOn w:val="DefaultParagraphFont"/>
    <w:uiPriority w:val="99"/>
    <w:unhideWhenUsed/>
    <w:rsid w:val="009C676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RAA@treasury.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48f371a4a874164b16a8c4aab488f5c xmlns="1f8041ad-64ca-41de-bfc0-ba1fe0a8cc07">
      <Terms xmlns="http://schemas.microsoft.com/office/infopath/2007/PartnerControls">
        <TermInfo xmlns="http://schemas.microsoft.com/office/infopath/2007/PartnerControls">
          <TermName xmlns="http://schemas.microsoft.com/office/infopath/2007/PartnerControls">Financial System</TermName>
          <TermId xmlns="http://schemas.microsoft.com/office/infopath/2007/PartnerControls">047002ef-5ee0-47ee-8184-5f4aaddfe3b3</TermId>
        </TermInfo>
      </Terms>
    </a48f371a4a874164b16a8c4aab488f5c>
    <gfba5f33532c49208d2320ce38cc3c2b xmlns="1f8041ad-64ca-41de-bfc0-ba1fe0a8cc07">
      <Terms xmlns="http://schemas.microsoft.com/office/infopath/2007/PartnerControls">
        <TermInfo xmlns="http://schemas.microsoft.com/office/infopath/2007/PartnerControls">
          <TermName xmlns="http://schemas.microsoft.com/office/infopath/2007/PartnerControls">FRAA</TermName>
          <TermId xmlns="http://schemas.microsoft.com/office/infopath/2007/PartnerControls">8da74e1f-c43b-4fa7-87b9-b45c9cc45415</TermId>
        </TermInfo>
        <TermInfo xmlns="http://schemas.microsoft.com/office/infopath/2007/PartnerControls">
          <TermName xmlns="http://schemas.microsoft.com/office/infopath/2007/PartnerControls">Australian Prudential Regulation Authority</TermName>
          <TermId xmlns="http://schemas.microsoft.com/office/infopath/2007/PartnerControls">fc510c0c-b246-4971-b91e-3217187ce042</TermId>
        </TermInfo>
        <TermInfo xmlns="http://schemas.microsoft.com/office/infopath/2007/PartnerControls">
          <TermName xmlns="http://schemas.microsoft.com/office/infopath/2007/PartnerControls">Regulator Effectiveness</TermName>
          <TermId xmlns="http://schemas.microsoft.com/office/infopath/2007/PartnerControls">6f917741-5072-4bc5-8ac8-6b4a8cd94687</TermId>
        </TermInfo>
        <TermInfo xmlns="http://schemas.microsoft.com/office/infopath/2007/PartnerControls">
          <TermName xmlns="http://schemas.microsoft.com/office/infopath/2007/PartnerControls">Regulator performance</TermName>
          <TermId xmlns="http://schemas.microsoft.com/office/infopath/2007/PartnerControls">6a72a2c4-fa98-4742-b952-2356475807cb</TermId>
        </TermInfo>
        <TermInfo xmlns="http://schemas.microsoft.com/office/infopath/2007/PartnerControls">
          <TermName xmlns="http://schemas.microsoft.com/office/infopath/2007/PartnerControls">Consultation</TermName>
          <TermId xmlns="http://schemas.microsoft.com/office/infopath/2007/PartnerControls">9cdfd731-bdd2-41ed-9e6f-22b4d62725ea</TermId>
        </TermInfo>
      </Terms>
    </gfba5f33532c49208d2320ce38cc3c2b>
    <kfc39f3e4e2747ae990d3c8bb74a5a64 xmlns="1f8041ad-64ca-41de-bfc0-ba1fe0a8cc07">
      <Terms xmlns="http://schemas.microsoft.com/office/infopath/2007/PartnerControls">
        <TermInfo xmlns="http://schemas.microsoft.com/office/infopath/2007/PartnerControls">
          <TermName xmlns="http://schemas.microsoft.com/office/infopath/2007/PartnerControls">Paper (Consultation or Discussion or Issues)</TermName>
          <TermId xmlns="http://schemas.microsoft.com/office/infopath/2007/PartnerControls">ed639160-ffef-47c5-861c-2e9391a33d9a</TermId>
        </TermInfo>
      </Terms>
    </kfc39f3e4e2747ae990d3c8bb74a5a64>
    <e4fe7dcdd1c0411bbf19a4de3665191f xmlns="1f8041ad-64ca-41de-bfc0-ba1fe0a8cc07">
      <Terms xmlns="http://schemas.microsoft.com/office/infopath/2007/PartnerControls">
        <TermInfo xmlns="http://schemas.microsoft.com/office/infopath/2007/PartnerControls">
          <TermName xmlns="http://schemas.microsoft.com/office/infopath/2007/PartnerControls">Consultation</TermName>
          <TermId xmlns="http://schemas.microsoft.com/office/infopath/2007/PartnerControls">dc375a31-9a38-4dbf-8c94-7aeffc3c2066</TermId>
        </TermInfo>
      </Terms>
    </e4fe7dcdd1c0411bbf19a4de3665191f>
    <TaxCatchAll xmlns="1f8041ad-64ca-41de-bfc0-ba1fe0a8cc07">
      <Value>29</Value>
      <Value>24</Value>
      <Value>23</Value>
      <Value>22</Value>
      <Value>55</Value>
      <Value>143</Value>
      <Value>1</Value>
      <Value>17</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24F356C664F1478E66EC083DEF24B3" ma:contentTypeVersion="53" ma:contentTypeDescription="Create a new document." ma:contentTypeScope="" ma:versionID="ff068dbbb8845937b08b054d769f88a7">
  <xsd:schema xmlns:xsd="http://www.w3.org/2001/XMLSchema" xmlns:xs="http://www.w3.org/2001/XMLSchema" xmlns:p="http://schemas.microsoft.com/office/2006/metadata/properties" xmlns:ns2="1f8041ad-64ca-41de-bfc0-ba1fe0a8cc07" xmlns:ns3="3c3e1118-2a98-4f4f-b4e9-11c9303772f0" targetNamespace="http://schemas.microsoft.com/office/2006/metadata/properties" ma:root="true" ma:fieldsID="71bf883a8ab1cf2fcc9178cf79cdfa79" ns2:_="" ns3:_="">
    <xsd:import namespace="1f8041ad-64ca-41de-bfc0-ba1fe0a8cc07"/>
    <xsd:import namespace="3c3e1118-2a98-4f4f-b4e9-11c9303772f0"/>
    <xsd:element name="properties">
      <xsd:complexType>
        <xsd:sequence>
          <xsd:element name="documentManagement">
            <xsd:complexType>
              <xsd:all>
                <xsd:element ref="ns2:TaxCatchAll" minOccurs="0"/>
                <xsd:element ref="ns2:kfc39f3e4e2747ae990d3c8bb74a5a64" minOccurs="0"/>
                <xsd:element ref="ns2:e4fe7dcdd1c0411bbf19a4de3665191f" minOccurs="0"/>
                <xsd:element ref="ns2:gfba5f33532c49208d2320ce38cc3c2b" minOccurs="0"/>
                <xsd:element ref="ns2:a48f371a4a874164b16a8c4aab488f5c"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8041ad-64ca-41de-bfc0-ba1fe0a8cc0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b767f41-7608-4137-bb24-dba55d997f3f}" ma:internalName="TaxCatchAll" ma:showField="CatchAllData" ma:web="1f8041ad-64ca-41de-bfc0-ba1fe0a8cc07">
      <xsd:complexType>
        <xsd:complexContent>
          <xsd:extension base="dms:MultiChoiceLookup">
            <xsd:sequence>
              <xsd:element name="Value" type="dms:Lookup" maxOccurs="unbounded" minOccurs="0" nillable="true"/>
            </xsd:sequence>
          </xsd:extension>
        </xsd:complexContent>
      </xsd:complexType>
    </xsd:element>
    <xsd:element name="kfc39f3e4e2747ae990d3c8bb74a5a64" ma:index="9" ma:taxonomy="true" ma:internalName="kfc39f3e4e2747ae990d3c8bb74a5a64" ma:taxonomyFieldName="eDocumentType" ma:displayName="Document Type" ma:readOnly="false" ma:fieldId="{4fc39f3e-4e27-47ae-990d-3c8bb74a5a64}" ma:sspId="218240cd-c75f-40bd-87f4-262ac964b25b" ma:termSetId="b38273d8-f349-4175-b1b0-ee67dc19adcc" ma:anchorId="00000000-0000-0000-0000-000000000000" ma:open="false" ma:isKeyword="false">
      <xsd:complexType>
        <xsd:sequence>
          <xsd:element ref="pc:Terms" minOccurs="0" maxOccurs="1"/>
        </xsd:sequence>
      </xsd:complexType>
    </xsd:element>
    <xsd:element name="e4fe7dcdd1c0411bbf19a4de3665191f" ma:index="11" ma:taxonomy="true" ma:internalName="e4fe7dcdd1c0411bbf19a4de3665191f" ma:taxonomyFieldName="eActivity" ma:displayName="Activity" ma:readOnly="false" ma:fieldId="{e4fe7dcd-d1c0-411b-bf19-a4de3665191f}" ma:sspId="218240cd-c75f-40bd-87f4-262ac964b25b" ma:termSetId="9305b40a-f8f0-4ebf-9b7d-191d7aeb3104" ma:anchorId="00000000-0000-0000-0000-000000000000" ma:open="false" ma:isKeyword="false">
      <xsd:complexType>
        <xsd:sequence>
          <xsd:element ref="pc:Terms" minOccurs="0" maxOccurs="1"/>
        </xsd:sequence>
      </xsd:complexType>
    </xsd:element>
    <xsd:element name="gfba5f33532c49208d2320ce38cc3c2b" ma:index="13" ma:taxonomy="true" ma:internalName="gfba5f33532c49208d2320ce38cc3c2b" ma:taxonomyFieldName="eTopic" ma:displayName="Topic" ma:readOnly="false" ma:default="" ma:fieldId="{0fba5f33-532c-4920-8d23-20ce38cc3c2b}" ma:taxonomyMulti="true" ma:sspId="218240cd-c75f-40bd-87f4-262ac964b25b" ma:termSetId="0584b66e-a988-4e7c-8ad6-c29e6cbda699" ma:anchorId="00000000-0000-0000-0000-000000000000" ma:open="false" ma:isKeyword="false">
      <xsd:complexType>
        <xsd:sequence>
          <xsd:element ref="pc:Terms" minOccurs="0" maxOccurs="1"/>
        </xsd:sequence>
      </xsd:complexType>
    </xsd:element>
    <xsd:element name="a48f371a4a874164b16a8c4aab488f5c" ma:index="15" ma:taxonomy="true" ma:internalName="a48f371a4a874164b16a8c4aab488f5c" ma:taxonomyFieldName="eTheme" ma:displayName="Theme" ma:readOnly="false" ma:default="-1;#Financial System|047002ef-5ee0-47ee-8184-5f4aaddfe3b3" ma:fieldId="{a48f371a-4a87-4164-b16a-8c4aab488f5c}" ma:sspId="218240cd-c75f-40bd-87f4-262ac964b25b" ma:termSetId="8e821040-f1a6-4dbe-a897-c33883d56fe7" ma:anchorId="00000000-0000-0000-0000-000000000000" ma:open="false" ma:isKeyword="false">
      <xsd:complexType>
        <xsd:sequence>
          <xsd:element ref="pc:Terms" minOccurs="0" maxOccurs="1"/>
        </xsd:sequence>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3e1118-2a98-4f4f-b4e9-11c9303772f0"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A4977-16D5-4BA5-AD78-A4BFE3CF74D4}">
  <ds:schemaRefs>
    <ds:schemaRef ds:uri="http://purl.org/dc/elements/1.1/"/>
    <ds:schemaRef ds:uri="http://purl.org/dc/terms/"/>
    <ds:schemaRef ds:uri="http://schemas.microsoft.com/office/2006/documentManagement/types"/>
    <ds:schemaRef ds:uri="http://purl.org/dc/dcmitype/"/>
    <ds:schemaRef ds:uri="3c3e1118-2a98-4f4f-b4e9-11c9303772f0"/>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1f8041ad-64ca-41de-bfc0-ba1fe0a8cc07"/>
  </ds:schemaRefs>
</ds:datastoreItem>
</file>

<file path=customXml/itemProps2.xml><?xml version="1.0" encoding="utf-8"?>
<ds:datastoreItem xmlns:ds="http://schemas.openxmlformats.org/officeDocument/2006/customXml" ds:itemID="{355151DE-5C35-4FC0-8A43-9E9E29C4B85A}">
  <ds:schemaRefs>
    <ds:schemaRef ds:uri="http://schemas.microsoft.com/sharepoint/v3/contenttype/forms"/>
  </ds:schemaRefs>
</ds:datastoreItem>
</file>

<file path=customXml/itemProps3.xml><?xml version="1.0" encoding="utf-8"?>
<ds:datastoreItem xmlns:ds="http://schemas.openxmlformats.org/officeDocument/2006/customXml" ds:itemID="{47BE22AD-12E5-43B4-94C8-9FEADD081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8041ad-64ca-41de-bfc0-ba1fe0a8cc07"/>
    <ds:schemaRef ds:uri="3c3e1118-2a98-4f4f-b4e9-11c930377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C38A03-3E4C-43A7-8D02-218872E42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914</Words>
  <Characters>5452</Characters>
  <Application>Microsoft Office Word</Application>
  <DocSecurity>0</DocSecurity>
  <Lines>100</Lines>
  <Paragraphs>43</Paragraphs>
  <ScaleCrop>false</ScaleCrop>
  <HeadingPairs>
    <vt:vector size="2" baseType="variant">
      <vt:variant>
        <vt:lpstr>Title</vt:lpstr>
      </vt:variant>
      <vt:variant>
        <vt:i4>1</vt:i4>
      </vt:variant>
    </vt:vector>
  </HeadingPairs>
  <TitlesOfParts>
    <vt:vector size="1" baseType="lpstr">
      <vt:lpstr>Effectiveness and capability review of the Australian Prudential Regulation Authority</vt:lpstr>
    </vt:vector>
  </TitlesOfParts>
  <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Effectiveness and capability review of the Australian Prudential Regulation Authority</dc:title>
  <dc:subject/>
  <dc:creator>Financial Regulator Assessment Authority</dc:creator>
  <cp:keywords/>
  <dc:description/>
  <cp:lastModifiedBy>Hill, Christine</cp:lastModifiedBy>
  <cp:revision>8</cp:revision>
  <dcterms:created xsi:type="dcterms:W3CDTF">2022-10-27T04:32:00Z</dcterms:created>
  <dcterms:modified xsi:type="dcterms:W3CDTF">2022-11-01T06:41:00Z</dcterms:modified>
</cp:coreProperties>
</file>